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0D9" w:rsidRDefault="00E420D9" w:rsidP="00F457AD">
      <w:pPr>
        <w:overflowPunct/>
        <w:autoSpaceDE/>
        <w:autoSpaceDN/>
        <w:adjustRightInd/>
        <w:textAlignment w:val="auto"/>
        <w:rPr>
          <w:rFonts w:asciiTheme="minorHAnsi" w:eastAsia="Calibri" w:hAnsiTheme="minorHAnsi" w:cstheme="minorHAnsi"/>
          <w:bCs/>
          <w:color w:val="000000" w:themeColor="text1"/>
          <w:sz w:val="24"/>
          <w:szCs w:val="24"/>
          <w:lang w:val="bg-BG"/>
        </w:rPr>
      </w:pPr>
    </w:p>
    <w:p w:rsidR="00E420D9" w:rsidRDefault="00E420D9" w:rsidP="00E420D9">
      <w:pPr>
        <w:overflowPunct/>
        <w:autoSpaceDE/>
        <w:autoSpaceDN/>
        <w:adjustRightInd/>
        <w:ind w:firstLine="720"/>
        <w:textAlignment w:val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Theme="minorHAnsi" w:eastAsia="Calibri" w:hAnsiTheme="minorHAnsi" w:cstheme="minorHAnsi"/>
          <w:bCs/>
          <w:color w:val="000000" w:themeColor="text1"/>
          <w:sz w:val="24"/>
          <w:szCs w:val="24"/>
          <w:lang w:val="bg-BG"/>
        </w:rPr>
        <w:t xml:space="preserve">Във връзка с поставените от Вас въпроси Ви изпращам коментар на КЕВР по всеки един от тях: </w:t>
      </w:r>
    </w:p>
    <w:p w:rsidR="00F457AD" w:rsidRDefault="00F457AD" w:rsidP="00F457AD">
      <w:pPr>
        <w:overflowPunct/>
        <w:autoSpaceDE/>
        <w:autoSpaceDN/>
        <w:adjustRightInd/>
        <w:textAlignment w:val="auto"/>
        <w:rPr>
          <w:rFonts w:ascii="Times New Roman" w:eastAsia="Calibri" w:hAnsi="Times New Roman"/>
          <w:sz w:val="24"/>
          <w:szCs w:val="24"/>
        </w:rPr>
      </w:pPr>
    </w:p>
    <w:p w:rsidR="00E420D9" w:rsidRDefault="00E420D9" w:rsidP="00F457AD">
      <w:pPr>
        <w:overflowPunct/>
        <w:autoSpaceDE/>
        <w:autoSpaceDN/>
        <w:adjustRightInd/>
        <w:textAlignment w:val="auto"/>
        <w:rPr>
          <w:rFonts w:ascii="Times New Roman" w:eastAsia="Calibri" w:hAnsi="Times New Roman"/>
          <w:sz w:val="24"/>
          <w:szCs w:val="24"/>
        </w:rPr>
      </w:pPr>
    </w:p>
    <w:p w:rsidR="00E420D9" w:rsidRPr="00F457AD" w:rsidRDefault="00E420D9" w:rsidP="00F457AD">
      <w:pPr>
        <w:overflowPunct/>
        <w:autoSpaceDE/>
        <w:autoSpaceDN/>
        <w:adjustRightInd/>
        <w:textAlignment w:val="auto"/>
        <w:rPr>
          <w:rFonts w:ascii="Times New Roman" w:eastAsia="Calibri" w:hAnsi="Times New Roman"/>
          <w:sz w:val="24"/>
          <w:szCs w:val="24"/>
        </w:rPr>
      </w:pPr>
    </w:p>
    <w:p w:rsidR="00F457AD" w:rsidRPr="00F457AD" w:rsidRDefault="00F457AD" w:rsidP="00F457AD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b/>
          <w:sz w:val="24"/>
          <w:szCs w:val="24"/>
        </w:rPr>
      </w:pPr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-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Във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формирането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на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цената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на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водата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влиза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ли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процент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или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част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,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която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да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се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инвестира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в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подмяна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на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мрежата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?</w:t>
      </w:r>
    </w:p>
    <w:p w:rsidR="00F457AD" w:rsidRDefault="00F457AD" w:rsidP="00F457AD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i/>
          <w:color w:val="000000" w:themeColor="text1"/>
          <w:sz w:val="22"/>
          <w:szCs w:val="22"/>
          <w:lang w:val="bg-BG"/>
        </w:rPr>
      </w:pPr>
    </w:p>
    <w:p w:rsidR="00F457AD" w:rsidRPr="00F457AD" w:rsidRDefault="00E420D9" w:rsidP="00F457AD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i/>
          <w:color w:val="000000" w:themeColor="text1"/>
          <w:sz w:val="22"/>
          <w:szCs w:val="22"/>
          <w:lang w:val="bg-BG"/>
        </w:rPr>
      </w:pPr>
      <w:r w:rsidRPr="00E420D9">
        <w:rPr>
          <w:rFonts w:ascii="Calibri" w:eastAsia="Calibri" w:hAnsi="Calibri" w:cs="Calibri"/>
          <w:b/>
          <w:i/>
          <w:color w:val="000000" w:themeColor="text1"/>
          <w:sz w:val="22"/>
          <w:szCs w:val="22"/>
          <w:lang w:val="bg-BG"/>
        </w:rPr>
        <w:t>Отговор :</w:t>
      </w:r>
      <w:r>
        <w:rPr>
          <w:rFonts w:ascii="Calibri" w:eastAsia="Calibri" w:hAnsi="Calibri" w:cs="Calibri"/>
          <w:i/>
          <w:color w:val="000000" w:themeColor="text1"/>
          <w:sz w:val="22"/>
          <w:szCs w:val="22"/>
          <w:lang w:val="bg-BG"/>
        </w:rPr>
        <w:t xml:space="preserve"> </w:t>
      </w:r>
      <w:r w:rsidR="00F457AD" w:rsidRPr="00F457AD">
        <w:rPr>
          <w:rFonts w:ascii="Calibri" w:eastAsia="Calibri" w:hAnsi="Calibri" w:cs="Calibri"/>
          <w:i/>
          <w:color w:val="000000" w:themeColor="text1"/>
          <w:sz w:val="22"/>
          <w:szCs w:val="22"/>
          <w:lang w:val="bg-BG"/>
        </w:rPr>
        <w:t>ВиК операторите стопанисват и управляват ВиК системи и съоръжения, които са публична държавна и общинска собственост, въз основа на договор</w:t>
      </w:r>
      <w:r>
        <w:rPr>
          <w:rFonts w:ascii="Calibri" w:eastAsia="Calibri" w:hAnsi="Calibri" w:cs="Calibri"/>
          <w:i/>
          <w:color w:val="000000" w:themeColor="text1"/>
          <w:sz w:val="22"/>
          <w:szCs w:val="22"/>
          <w:lang w:val="bg-BG"/>
        </w:rPr>
        <w:t>,</w:t>
      </w:r>
      <w:r w:rsidR="00F457AD" w:rsidRPr="00F457AD">
        <w:rPr>
          <w:rFonts w:ascii="Calibri" w:eastAsia="Calibri" w:hAnsi="Calibri" w:cs="Calibri"/>
          <w:i/>
          <w:color w:val="000000" w:themeColor="text1"/>
          <w:sz w:val="22"/>
          <w:szCs w:val="22"/>
          <w:lang w:val="bg-BG"/>
        </w:rPr>
        <w:t xml:space="preserve"> сключен със собствениците на ВиК активите – държавата и общините, обединени в т.н. асоциация по ВиК (АВиК). В сключените договори има поети ангажименти за минимални годишни инвестиции в публичните ВиК активи.</w:t>
      </w:r>
    </w:p>
    <w:p w:rsidR="00F457AD" w:rsidRPr="00F457AD" w:rsidRDefault="00F457AD" w:rsidP="00F457AD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i/>
          <w:color w:val="000000" w:themeColor="text1"/>
          <w:sz w:val="22"/>
          <w:szCs w:val="22"/>
          <w:lang w:val="bg-BG"/>
        </w:rPr>
      </w:pPr>
      <w:r w:rsidRPr="00F457AD">
        <w:rPr>
          <w:rFonts w:ascii="Calibri" w:eastAsia="Calibri" w:hAnsi="Calibri" w:cs="Calibri"/>
          <w:i/>
          <w:color w:val="000000" w:themeColor="text1"/>
          <w:sz w:val="22"/>
          <w:szCs w:val="22"/>
          <w:lang w:val="bg-BG"/>
        </w:rPr>
        <w:t>КЕВР от своя страна поставя на ВиК операторите цели за подобряване качеството на ВиК услугите, измер</w:t>
      </w:r>
      <w:r w:rsidR="00E420D9">
        <w:rPr>
          <w:rFonts w:ascii="Calibri" w:eastAsia="Calibri" w:hAnsi="Calibri" w:cs="Calibri"/>
          <w:i/>
          <w:color w:val="000000" w:themeColor="text1"/>
          <w:sz w:val="22"/>
          <w:szCs w:val="22"/>
          <w:lang w:val="bg-BG"/>
        </w:rPr>
        <w:t>вано с показатели за качество, като</w:t>
      </w:r>
      <w:r w:rsidRPr="00F457AD">
        <w:rPr>
          <w:rFonts w:ascii="Calibri" w:eastAsia="Calibri" w:hAnsi="Calibri" w:cs="Calibri"/>
          <w:i/>
          <w:color w:val="000000" w:themeColor="text1"/>
          <w:sz w:val="22"/>
          <w:szCs w:val="22"/>
          <w:lang w:val="bg-BG"/>
        </w:rPr>
        <w:t xml:space="preserve"> изисква да се предвидят необходимите инвестиции за тяхното постигане</w:t>
      </w:r>
      <w:r w:rsidR="00E420D9">
        <w:rPr>
          <w:rFonts w:ascii="Calibri" w:eastAsia="Calibri" w:hAnsi="Calibri" w:cs="Calibri"/>
          <w:i/>
          <w:color w:val="000000" w:themeColor="text1"/>
          <w:sz w:val="22"/>
          <w:szCs w:val="22"/>
          <w:lang w:val="bg-BG"/>
        </w:rPr>
        <w:t>. В</w:t>
      </w:r>
      <w:r w:rsidRPr="00F457AD">
        <w:rPr>
          <w:rFonts w:ascii="Calibri" w:eastAsia="Calibri" w:hAnsi="Calibri" w:cs="Calibri"/>
          <w:i/>
          <w:color w:val="000000" w:themeColor="text1"/>
          <w:sz w:val="22"/>
          <w:szCs w:val="22"/>
          <w:lang w:val="bg-BG"/>
        </w:rPr>
        <w:t xml:space="preserve"> общия случай предложените в бизнес плановете инвестиции надхвърлят размера</w:t>
      </w:r>
      <w:r w:rsidR="00E420D9">
        <w:rPr>
          <w:rFonts w:ascii="Calibri" w:eastAsia="Calibri" w:hAnsi="Calibri" w:cs="Calibri"/>
          <w:i/>
          <w:color w:val="000000" w:themeColor="text1"/>
          <w:sz w:val="22"/>
          <w:szCs w:val="22"/>
          <w:lang w:val="bg-BG"/>
        </w:rPr>
        <w:t>,</w:t>
      </w:r>
      <w:r w:rsidRPr="00F457AD">
        <w:rPr>
          <w:rFonts w:ascii="Calibri" w:eastAsia="Calibri" w:hAnsi="Calibri" w:cs="Calibri"/>
          <w:i/>
          <w:color w:val="000000" w:themeColor="text1"/>
          <w:sz w:val="22"/>
          <w:szCs w:val="22"/>
          <w:lang w:val="bg-BG"/>
        </w:rPr>
        <w:t xml:space="preserve"> определен по договор.</w:t>
      </w:r>
    </w:p>
    <w:p w:rsidR="00F457AD" w:rsidRPr="00F457AD" w:rsidRDefault="00F457AD" w:rsidP="00F457AD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i/>
          <w:color w:val="000000" w:themeColor="text1"/>
          <w:sz w:val="22"/>
          <w:szCs w:val="22"/>
          <w:lang w:val="bg-BG"/>
        </w:rPr>
      </w:pPr>
      <w:r w:rsidRPr="00F457AD">
        <w:rPr>
          <w:rFonts w:ascii="Calibri" w:eastAsia="Calibri" w:hAnsi="Calibri" w:cs="Calibri"/>
          <w:i/>
          <w:color w:val="000000" w:themeColor="text1"/>
          <w:sz w:val="22"/>
          <w:szCs w:val="22"/>
          <w:lang w:val="bg-BG"/>
        </w:rPr>
        <w:t>Съгласно регулаторната рамка, за целите на ценообразуването на ВиК услугите се допуска част от изчислените разходи за амортизации на публичните ВиК активи, предадени на ВиК оператора за стопанисване с договор, да се включат в цените на ВиК услугите, с оглед финансирането на инвестиции в тези активи. КЕВР ежегодно осъществява контрол върху реално отчет</w:t>
      </w:r>
      <w:r w:rsidR="00E420D9">
        <w:rPr>
          <w:rFonts w:ascii="Calibri" w:eastAsia="Calibri" w:hAnsi="Calibri" w:cs="Calibri"/>
          <w:i/>
          <w:color w:val="000000" w:themeColor="text1"/>
          <w:sz w:val="22"/>
          <w:szCs w:val="22"/>
          <w:lang w:val="bg-BG"/>
        </w:rPr>
        <w:t>ените от дружествата инвестиции</w:t>
      </w:r>
      <w:r w:rsidRPr="00F457AD">
        <w:rPr>
          <w:rFonts w:ascii="Calibri" w:eastAsia="Calibri" w:hAnsi="Calibri" w:cs="Calibri"/>
          <w:i/>
          <w:color w:val="000000" w:themeColor="text1"/>
          <w:sz w:val="22"/>
          <w:szCs w:val="22"/>
          <w:lang w:val="bg-BG"/>
        </w:rPr>
        <w:t xml:space="preserve"> и съгласно нормативната уредба има възможност двукратно през регулаторния период да коригира одобрените цени на ВиК услуги (чрез коефициент </w:t>
      </w:r>
      <w:r w:rsidRPr="00F457AD">
        <w:rPr>
          <w:rFonts w:ascii="Calibri" w:eastAsia="Calibri" w:hAnsi="Calibri" w:cs="Calibri"/>
          <w:i/>
          <w:color w:val="000000" w:themeColor="text1"/>
          <w:sz w:val="22"/>
          <w:szCs w:val="22"/>
          <w:lang w:val="en-GB"/>
        </w:rPr>
        <w:t>Q</w:t>
      </w:r>
      <w:r w:rsidRPr="00F457AD">
        <w:rPr>
          <w:rFonts w:ascii="Calibri" w:eastAsia="Calibri" w:hAnsi="Calibri" w:cs="Calibri"/>
          <w:i/>
          <w:color w:val="000000" w:themeColor="text1"/>
          <w:sz w:val="22"/>
          <w:szCs w:val="22"/>
          <w:lang w:val="bg-BG"/>
        </w:rPr>
        <w:t>и) с отчетеното неизпълнение на инвестициите съгласно одобрения бизнес план.</w:t>
      </w:r>
    </w:p>
    <w:p w:rsidR="00F457AD" w:rsidRPr="00F457AD" w:rsidRDefault="00F457AD" w:rsidP="00F457AD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color w:val="1F497D"/>
          <w:sz w:val="22"/>
          <w:szCs w:val="22"/>
          <w:lang w:val="bg-BG"/>
        </w:rPr>
      </w:pPr>
    </w:p>
    <w:p w:rsidR="00F457AD" w:rsidRPr="00F457AD" w:rsidRDefault="00F457AD" w:rsidP="00F457AD">
      <w:pPr>
        <w:overflowPunct/>
        <w:autoSpaceDE/>
        <w:autoSpaceDN/>
        <w:adjustRightInd/>
        <w:textAlignment w:val="auto"/>
        <w:rPr>
          <w:rFonts w:ascii="Times New Roman" w:eastAsia="Calibri" w:hAnsi="Times New Roman"/>
          <w:b/>
          <w:sz w:val="24"/>
          <w:szCs w:val="24"/>
        </w:rPr>
      </w:pPr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-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Качеството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на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водата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отговаря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ли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на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цената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,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т.е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.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по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-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високата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цена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ще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доведе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ли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до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подобряване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на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качеството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на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водата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и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на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общия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достъп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до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услугата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?</w:t>
      </w:r>
    </w:p>
    <w:p w:rsidR="00F457AD" w:rsidRDefault="00F457AD" w:rsidP="00F457AD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i/>
          <w:color w:val="000000" w:themeColor="text1"/>
          <w:sz w:val="22"/>
          <w:szCs w:val="22"/>
          <w:lang w:val="bg-BG"/>
        </w:rPr>
      </w:pPr>
    </w:p>
    <w:p w:rsidR="00F457AD" w:rsidRPr="00F457AD" w:rsidRDefault="00E420D9" w:rsidP="00F457AD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i/>
          <w:color w:val="000000" w:themeColor="text1"/>
          <w:sz w:val="22"/>
          <w:szCs w:val="22"/>
          <w:lang w:val="bg-BG"/>
        </w:rPr>
      </w:pPr>
      <w:r w:rsidRPr="00E420D9">
        <w:rPr>
          <w:rFonts w:ascii="Calibri" w:eastAsia="Calibri" w:hAnsi="Calibri" w:cs="Calibri"/>
          <w:b/>
          <w:i/>
          <w:color w:val="000000" w:themeColor="text1"/>
          <w:sz w:val="22"/>
          <w:szCs w:val="22"/>
          <w:lang w:val="bg-BG"/>
        </w:rPr>
        <w:t>Отговор :</w:t>
      </w:r>
      <w:r w:rsidRPr="00E420D9">
        <w:rPr>
          <w:rFonts w:ascii="Calibri" w:eastAsia="Calibri" w:hAnsi="Calibri" w:cs="Calibri"/>
          <w:i/>
          <w:color w:val="000000" w:themeColor="text1"/>
          <w:sz w:val="22"/>
          <w:szCs w:val="22"/>
          <w:lang w:val="bg-BG"/>
        </w:rPr>
        <w:t xml:space="preserve"> </w:t>
      </w:r>
      <w:r w:rsidR="00F457AD" w:rsidRPr="00F457AD">
        <w:rPr>
          <w:rFonts w:ascii="Calibri" w:eastAsia="Calibri" w:hAnsi="Calibri" w:cs="Calibri"/>
          <w:i/>
          <w:color w:val="000000" w:themeColor="text1"/>
          <w:sz w:val="22"/>
          <w:szCs w:val="22"/>
          <w:lang w:val="bg-BG"/>
        </w:rPr>
        <w:t>КЕВР регулира качеството и цените на ВиК услугите чрез одобряване на 5-годишни бизнес планове на ВиК операторите. Качеството на услугата се измерва с показатели за качество (общо 30</w:t>
      </w:r>
      <w:r>
        <w:rPr>
          <w:rFonts w:ascii="Calibri" w:eastAsia="Calibri" w:hAnsi="Calibri" w:cs="Calibri"/>
          <w:i/>
          <w:color w:val="000000" w:themeColor="text1"/>
          <w:sz w:val="22"/>
          <w:szCs w:val="22"/>
          <w:lang w:val="bg-BG"/>
        </w:rPr>
        <w:t xml:space="preserve"> на брой</w:t>
      </w:r>
      <w:r w:rsidR="00F457AD" w:rsidRPr="00F457AD">
        <w:rPr>
          <w:rFonts w:ascii="Calibri" w:eastAsia="Calibri" w:hAnsi="Calibri" w:cs="Calibri"/>
          <w:i/>
          <w:color w:val="000000" w:themeColor="text1"/>
          <w:sz w:val="22"/>
          <w:szCs w:val="22"/>
          <w:lang w:val="bg-BG"/>
        </w:rPr>
        <w:t>), които обхващат всички ключови аспекти на предоставяните услуги. Преди началото на всеки регулаторен период Комисията определя индивидуални цели на всеки показател и изисква от ВиК операторите да предложат в бизнес плана</w:t>
      </w:r>
      <w:r>
        <w:rPr>
          <w:rFonts w:ascii="Calibri" w:eastAsia="Calibri" w:hAnsi="Calibri" w:cs="Calibri"/>
          <w:i/>
          <w:color w:val="000000" w:themeColor="text1"/>
          <w:sz w:val="22"/>
          <w:szCs w:val="22"/>
          <w:lang w:val="bg-BG"/>
        </w:rPr>
        <w:t xml:space="preserve"> си</w:t>
      </w:r>
      <w:r w:rsidR="00F457AD" w:rsidRPr="00F457AD">
        <w:rPr>
          <w:rFonts w:ascii="Calibri" w:eastAsia="Calibri" w:hAnsi="Calibri" w:cs="Calibri"/>
          <w:i/>
          <w:color w:val="000000" w:themeColor="text1"/>
          <w:sz w:val="22"/>
          <w:szCs w:val="22"/>
          <w:lang w:val="bg-BG"/>
        </w:rPr>
        <w:t xml:space="preserve"> достигането на тези цели. Дружествата могат да обосноват и по-ниски цели</w:t>
      </w:r>
      <w:r>
        <w:rPr>
          <w:rFonts w:ascii="Calibri" w:eastAsia="Calibri" w:hAnsi="Calibri" w:cs="Calibri"/>
          <w:i/>
          <w:color w:val="000000" w:themeColor="text1"/>
          <w:sz w:val="22"/>
          <w:szCs w:val="22"/>
          <w:lang w:val="bg-BG"/>
        </w:rPr>
        <w:t>,</w:t>
      </w:r>
      <w:r w:rsidR="00F457AD" w:rsidRPr="00F457AD">
        <w:rPr>
          <w:rFonts w:ascii="Calibri" w:eastAsia="Calibri" w:hAnsi="Calibri" w:cs="Calibri"/>
          <w:i/>
          <w:color w:val="000000" w:themeColor="text1"/>
          <w:sz w:val="22"/>
          <w:szCs w:val="22"/>
          <w:lang w:val="bg-BG"/>
        </w:rPr>
        <w:t xml:space="preserve"> в зависимост от реалните си възможности.</w:t>
      </w:r>
    </w:p>
    <w:p w:rsidR="00F457AD" w:rsidRPr="00F457AD" w:rsidRDefault="00F457AD" w:rsidP="00F457AD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i/>
          <w:color w:val="000000" w:themeColor="text1"/>
          <w:sz w:val="22"/>
          <w:szCs w:val="22"/>
          <w:lang w:val="bg-BG"/>
        </w:rPr>
      </w:pPr>
      <w:r w:rsidRPr="00F457AD">
        <w:rPr>
          <w:rFonts w:ascii="Calibri" w:eastAsia="Calibri" w:hAnsi="Calibri" w:cs="Calibri"/>
          <w:i/>
          <w:color w:val="000000" w:themeColor="text1"/>
          <w:sz w:val="22"/>
          <w:szCs w:val="22"/>
          <w:lang w:val="bg-BG"/>
        </w:rPr>
        <w:t xml:space="preserve">Предложените в бизнес плановете за този регулаторен период 2022-2026 г. изменения на цените </w:t>
      </w:r>
      <w:r w:rsidR="00E420D9">
        <w:rPr>
          <w:rFonts w:ascii="Calibri" w:eastAsia="Calibri" w:hAnsi="Calibri" w:cs="Calibri"/>
          <w:i/>
          <w:color w:val="000000" w:themeColor="text1"/>
          <w:sz w:val="22"/>
          <w:szCs w:val="22"/>
          <w:lang w:val="bg-BG"/>
        </w:rPr>
        <w:t>са</w:t>
      </w:r>
      <w:r w:rsidRPr="00F457AD">
        <w:rPr>
          <w:rFonts w:ascii="Calibri" w:eastAsia="Calibri" w:hAnsi="Calibri" w:cs="Calibri"/>
          <w:i/>
          <w:color w:val="000000" w:themeColor="text1"/>
          <w:sz w:val="22"/>
          <w:szCs w:val="22"/>
          <w:lang w:val="bg-BG"/>
        </w:rPr>
        <w:t xml:space="preserve"> св</w:t>
      </w:r>
      <w:r w:rsidR="00E420D9">
        <w:rPr>
          <w:rFonts w:ascii="Calibri" w:eastAsia="Calibri" w:hAnsi="Calibri" w:cs="Calibri"/>
          <w:i/>
          <w:color w:val="000000" w:themeColor="text1"/>
          <w:sz w:val="22"/>
          <w:szCs w:val="22"/>
          <w:lang w:val="bg-BG"/>
        </w:rPr>
        <w:t xml:space="preserve">ързани с няколко основни фактора </w:t>
      </w:r>
      <w:r w:rsidRPr="00F457AD">
        <w:rPr>
          <w:rFonts w:ascii="Calibri" w:eastAsia="Calibri" w:hAnsi="Calibri" w:cs="Calibri"/>
          <w:i/>
          <w:color w:val="000000" w:themeColor="text1"/>
          <w:sz w:val="22"/>
          <w:szCs w:val="22"/>
          <w:lang w:val="bg-BG"/>
        </w:rPr>
        <w:t>:</w:t>
      </w:r>
    </w:p>
    <w:p w:rsidR="00F457AD" w:rsidRPr="00F457AD" w:rsidRDefault="00F457AD" w:rsidP="00F457AD">
      <w:pPr>
        <w:numPr>
          <w:ilvl w:val="0"/>
          <w:numId w:val="9"/>
        </w:numPr>
        <w:overflowPunct/>
        <w:autoSpaceDE/>
        <w:autoSpaceDN/>
        <w:adjustRightInd/>
        <w:textAlignment w:val="auto"/>
        <w:rPr>
          <w:rFonts w:ascii="Calibri" w:eastAsia="Calibri" w:hAnsi="Calibri" w:cs="Calibri"/>
          <w:i/>
          <w:color w:val="000000" w:themeColor="text1"/>
          <w:sz w:val="22"/>
          <w:szCs w:val="22"/>
          <w:lang w:val="bg-BG"/>
        </w:rPr>
      </w:pPr>
      <w:r w:rsidRPr="00F457AD">
        <w:rPr>
          <w:rFonts w:ascii="Calibri" w:eastAsia="Calibri" w:hAnsi="Calibri" w:cs="Calibri"/>
          <w:i/>
          <w:color w:val="000000" w:themeColor="text1"/>
          <w:sz w:val="22"/>
          <w:szCs w:val="22"/>
          <w:lang w:val="bg-BG"/>
        </w:rPr>
        <w:t xml:space="preserve">Повишените цени на доставяната на свободен пазар електроенергия, които значително </w:t>
      </w:r>
      <w:r w:rsidR="00E420D9">
        <w:rPr>
          <w:rFonts w:ascii="Calibri" w:eastAsia="Calibri" w:hAnsi="Calibri" w:cs="Calibri"/>
          <w:i/>
          <w:color w:val="000000" w:themeColor="text1"/>
          <w:sz w:val="22"/>
          <w:szCs w:val="22"/>
          <w:lang w:val="bg-BG"/>
        </w:rPr>
        <w:t>нараснаха</w:t>
      </w:r>
      <w:r w:rsidRPr="00F457AD">
        <w:rPr>
          <w:rFonts w:ascii="Calibri" w:eastAsia="Calibri" w:hAnsi="Calibri" w:cs="Calibri"/>
          <w:i/>
          <w:color w:val="000000" w:themeColor="text1"/>
          <w:sz w:val="22"/>
          <w:szCs w:val="22"/>
          <w:lang w:val="bg-BG"/>
        </w:rPr>
        <w:t xml:space="preserve"> през второто полугодие на 2021 г.</w:t>
      </w:r>
    </w:p>
    <w:p w:rsidR="00F457AD" w:rsidRPr="00F457AD" w:rsidRDefault="00E420D9" w:rsidP="00F457AD">
      <w:pPr>
        <w:numPr>
          <w:ilvl w:val="0"/>
          <w:numId w:val="9"/>
        </w:numPr>
        <w:overflowPunct/>
        <w:autoSpaceDE/>
        <w:autoSpaceDN/>
        <w:adjustRightInd/>
        <w:textAlignment w:val="auto"/>
        <w:rPr>
          <w:rFonts w:ascii="Calibri" w:eastAsia="Calibri" w:hAnsi="Calibri" w:cs="Calibri"/>
          <w:i/>
          <w:color w:val="000000" w:themeColor="text1"/>
          <w:sz w:val="22"/>
          <w:szCs w:val="22"/>
          <w:lang w:val="bg-BG"/>
        </w:rPr>
      </w:pPr>
      <w:r>
        <w:rPr>
          <w:rFonts w:ascii="Calibri" w:eastAsia="Calibri" w:hAnsi="Calibri" w:cs="Calibri"/>
          <w:i/>
          <w:color w:val="000000" w:themeColor="text1"/>
          <w:sz w:val="22"/>
          <w:szCs w:val="22"/>
          <w:lang w:val="bg-BG"/>
        </w:rPr>
        <w:t>Сключеното Н</w:t>
      </w:r>
      <w:r w:rsidR="00F457AD" w:rsidRPr="00F457AD">
        <w:rPr>
          <w:rFonts w:ascii="Calibri" w:eastAsia="Calibri" w:hAnsi="Calibri" w:cs="Calibri"/>
          <w:i/>
          <w:color w:val="000000" w:themeColor="text1"/>
          <w:sz w:val="22"/>
          <w:szCs w:val="22"/>
          <w:lang w:val="bg-BG"/>
        </w:rPr>
        <w:t>ационално тристранно споразумение между МРРБ, Български ВиК холдинг и синдикалните организации за ежегодно нарастване на разходите за заплати във ВиК сектора с 15%, поради факта, че средните заплати във ВиК дружествата са значително по-ниски от средните заплати по региони.</w:t>
      </w:r>
    </w:p>
    <w:p w:rsidR="00F457AD" w:rsidRPr="00F457AD" w:rsidRDefault="00F457AD" w:rsidP="00F457AD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i/>
          <w:color w:val="000000" w:themeColor="text1"/>
          <w:sz w:val="22"/>
          <w:szCs w:val="22"/>
          <w:lang w:val="bg-BG"/>
        </w:rPr>
      </w:pPr>
      <w:r w:rsidRPr="00F457AD">
        <w:rPr>
          <w:rFonts w:ascii="Calibri" w:eastAsia="Calibri" w:hAnsi="Calibri" w:cs="Calibri"/>
          <w:i/>
          <w:color w:val="000000" w:themeColor="text1"/>
          <w:sz w:val="22"/>
          <w:szCs w:val="22"/>
          <w:lang w:val="bg-BG"/>
        </w:rPr>
        <w:t xml:space="preserve">В тази връзка предложените в бизнес плановете заплати обуславят възможностите на ВиК операторите да стопанисват ВиК системите, да изпълняват заложените в бизнес плановете производствени, ремонтни и инвестиционни програми, </w:t>
      </w:r>
      <w:r w:rsidR="00E420D9">
        <w:rPr>
          <w:rFonts w:ascii="Calibri" w:eastAsia="Calibri" w:hAnsi="Calibri" w:cs="Calibri"/>
          <w:i/>
          <w:color w:val="000000" w:themeColor="text1"/>
          <w:sz w:val="22"/>
          <w:szCs w:val="22"/>
          <w:lang w:val="bg-BG"/>
        </w:rPr>
        <w:t xml:space="preserve">както </w:t>
      </w:r>
      <w:r w:rsidRPr="00F457AD">
        <w:rPr>
          <w:rFonts w:ascii="Calibri" w:eastAsia="Calibri" w:hAnsi="Calibri" w:cs="Calibri"/>
          <w:i/>
          <w:color w:val="000000" w:themeColor="text1"/>
          <w:sz w:val="22"/>
          <w:szCs w:val="22"/>
          <w:lang w:val="bg-BG"/>
        </w:rPr>
        <w:t>и да планират подобрение на качеството на ВиК услугите.</w:t>
      </w:r>
    </w:p>
    <w:p w:rsidR="00F457AD" w:rsidRPr="00F457AD" w:rsidRDefault="00F457AD" w:rsidP="00F457AD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color w:val="1F497D"/>
          <w:sz w:val="22"/>
          <w:szCs w:val="22"/>
          <w:lang w:val="bg-BG"/>
        </w:rPr>
      </w:pPr>
    </w:p>
    <w:p w:rsidR="00F457AD" w:rsidRPr="00F457AD" w:rsidRDefault="00F457AD" w:rsidP="00F457AD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b/>
          <w:sz w:val="24"/>
          <w:szCs w:val="24"/>
        </w:rPr>
      </w:pPr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lastRenderedPageBreak/>
        <w:t xml:space="preserve">-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Защо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се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повиши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цената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на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водата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в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област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Видин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от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1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януари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2024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година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и с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колко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процента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е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по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-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скъпа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?</w:t>
      </w:r>
    </w:p>
    <w:p w:rsidR="00F457AD" w:rsidRDefault="00F457AD" w:rsidP="00F457AD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i/>
          <w:color w:val="000000" w:themeColor="text1"/>
          <w:sz w:val="22"/>
          <w:szCs w:val="22"/>
          <w:lang w:val="bg-BG"/>
        </w:rPr>
      </w:pPr>
    </w:p>
    <w:p w:rsidR="00F457AD" w:rsidRPr="00F457AD" w:rsidRDefault="00E420D9" w:rsidP="00F457AD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i/>
          <w:color w:val="000000" w:themeColor="text1"/>
          <w:sz w:val="22"/>
          <w:szCs w:val="22"/>
          <w:lang w:val="bg-BG"/>
        </w:rPr>
      </w:pPr>
      <w:r w:rsidRPr="00E420D9">
        <w:rPr>
          <w:rFonts w:ascii="Calibri" w:eastAsia="Calibri" w:hAnsi="Calibri" w:cs="Calibri"/>
          <w:b/>
          <w:i/>
          <w:color w:val="000000" w:themeColor="text1"/>
          <w:sz w:val="22"/>
          <w:szCs w:val="22"/>
          <w:lang w:val="bg-BG"/>
        </w:rPr>
        <w:t>Отговор :</w:t>
      </w:r>
      <w:r w:rsidRPr="00E420D9">
        <w:rPr>
          <w:rFonts w:ascii="Calibri" w:eastAsia="Calibri" w:hAnsi="Calibri" w:cs="Calibri"/>
          <w:i/>
          <w:color w:val="000000" w:themeColor="text1"/>
          <w:sz w:val="22"/>
          <w:szCs w:val="22"/>
          <w:lang w:val="bg-BG"/>
        </w:rPr>
        <w:t xml:space="preserve"> </w:t>
      </w:r>
      <w:r>
        <w:rPr>
          <w:rFonts w:ascii="Calibri" w:eastAsia="Calibri" w:hAnsi="Calibri" w:cs="Calibri"/>
          <w:i/>
          <w:color w:val="000000" w:themeColor="text1"/>
          <w:sz w:val="22"/>
          <w:szCs w:val="22"/>
          <w:lang w:val="bg-BG"/>
        </w:rPr>
        <w:t>КЕВР одобри</w:t>
      </w:r>
      <w:r w:rsidR="00F457AD" w:rsidRPr="00F457AD">
        <w:rPr>
          <w:rFonts w:ascii="Calibri" w:eastAsia="Calibri" w:hAnsi="Calibri" w:cs="Calibri"/>
          <w:i/>
          <w:color w:val="000000" w:themeColor="text1"/>
          <w:sz w:val="22"/>
          <w:szCs w:val="22"/>
          <w:lang w:val="bg-BG"/>
        </w:rPr>
        <w:t xml:space="preserve"> 5-годишния бизнес план на „ВиК-Видин“ ЕООД с решение № БП-Ц-18 от 31.08.2022 г., съответно дружеството започна да прилага новите цени на ВиК услуги</w:t>
      </w:r>
      <w:r>
        <w:rPr>
          <w:rFonts w:ascii="Calibri" w:eastAsia="Calibri" w:hAnsi="Calibri" w:cs="Calibri"/>
          <w:i/>
          <w:color w:val="000000" w:themeColor="text1"/>
          <w:sz w:val="22"/>
          <w:szCs w:val="22"/>
          <w:lang w:val="bg-BG"/>
        </w:rPr>
        <w:t>,</w:t>
      </w:r>
      <w:r w:rsidR="00F457AD" w:rsidRPr="00F457AD">
        <w:rPr>
          <w:rFonts w:ascii="Calibri" w:eastAsia="Calibri" w:hAnsi="Calibri" w:cs="Calibri"/>
          <w:i/>
          <w:color w:val="000000" w:themeColor="text1"/>
          <w:sz w:val="22"/>
          <w:szCs w:val="22"/>
          <w:lang w:val="bg-BG"/>
        </w:rPr>
        <w:t xml:space="preserve"> считано от 01.09.2022 г. Забавянето в одобрението на бизнес плана бе</w:t>
      </w:r>
      <w:r>
        <w:rPr>
          <w:rFonts w:ascii="Calibri" w:eastAsia="Calibri" w:hAnsi="Calibri" w:cs="Calibri"/>
          <w:i/>
          <w:color w:val="000000" w:themeColor="text1"/>
          <w:sz w:val="22"/>
          <w:szCs w:val="22"/>
          <w:lang w:val="bg-BG"/>
        </w:rPr>
        <w:t>ше</w:t>
      </w:r>
      <w:r w:rsidR="00F457AD" w:rsidRPr="00F457AD">
        <w:rPr>
          <w:rFonts w:ascii="Calibri" w:eastAsia="Calibri" w:hAnsi="Calibri" w:cs="Calibri"/>
          <w:i/>
          <w:color w:val="000000" w:themeColor="text1"/>
          <w:sz w:val="22"/>
          <w:szCs w:val="22"/>
          <w:lang w:val="bg-BG"/>
        </w:rPr>
        <w:t xml:space="preserve"> обусловено от действащия до 31.03.2022 г. мораториум върху цените на ВиК услугите.</w:t>
      </w:r>
    </w:p>
    <w:p w:rsidR="00F457AD" w:rsidRPr="00F457AD" w:rsidRDefault="00F457AD" w:rsidP="00F457AD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i/>
          <w:color w:val="000000" w:themeColor="text1"/>
          <w:sz w:val="22"/>
          <w:szCs w:val="22"/>
          <w:lang w:val="bg-BG"/>
        </w:rPr>
      </w:pPr>
      <w:r w:rsidRPr="00F457AD">
        <w:rPr>
          <w:rFonts w:ascii="Calibri" w:eastAsia="Calibri" w:hAnsi="Calibri" w:cs="Calibri"/>
          <w:i/>
          <w:color w:val="000000" w:themeColor="text1"/>
          <w:sz w:val="22"/>
          <w:szCs w:val="22"/>
          <w:lang w:val="bg-BG"/>
        </w:rPr>
        <w:t xml:space="preserve">В одобрения бизнес план </w:t>
      </w:r>
      <w:r w:rsidR="00E420D9">
        <w:rPr>
          <w:rFonts w:ascii="Calibri" w:eastAsia="Calibri" w:hAnsi="Calibri" w:cs="Calibri"/>
          <w:i/>
          <w:color w:val="000000" w:themeColor="text1"/>
          <w:sz w:val="22"/>
          <w:szCs w:val="22"/>
          <w:lang w:val="bg-BG"/>
        </w:rPr>
        <w:t>е</w:t>
      </w:r>
      <w:r w:rsidRPr="00F457AD">
        <w:rPr>
          <w:rFonts w:ascii="Calibri" w:eastAsia="Calibri" w:hAnsi="Calibri" w:cs="Calibri"/>
          <w:i/>
          <w:color w:val="000000" w:themeColor="text1"/>
          <w:sz w:val="22"/>
          <w:szCs w:val="22"/>
          <w:lang w:val="bg-BG"/>
        </w:rPr>
        <w:t xml:space="preserve"> заложена комплексна цена на ВиК услугите (доставяне на вода, отвеждане и пречистване на отпадъчни води) в размер на 3,683 лв./м3 с ДДС за 2022 г., 3,913 лв./м3 с ДДС за 2023 г., 4,116 лв./м3 с ДДС за 2024 г. Така разработените цени </w:t>
      </w:r>
      <w:r w:rsidR="00E420D9">
        <w:rPr>
          <w:rFonts w:ascii="Calibri" w:eastAsia="Calibri" w:hAnsi="Calibri" w:cs="Calibri"/>
          <w:i/>
          <w:color w:val="000000" w:themeColor="text1"/>
          <w:sz w:val="22"/>
          <w:szCs w:val="22"/>
          <w:lang w:val="bg-BG"/>
        </w:rPr>
        <w:t>не</w:t>
      </w:r>
      <w:r w:rsidRPr="00F457AD">
        <w:rPr>
          <w:rFonts w:ascii="Calibri" w:eastAsia="Calibri" w:hAnsi="Calibri" w:cs="Calibri"/>
          <w:i/>
          <w:color w:val="000000" w:themeColor="text1"/>
          <w:sz w:val="22"/>
          <w:szCs w:val="22"/>
          <w:lang w:val="bg-BG"/>
        </w:rPr>
        <w:t xml:space="preserve"> включва</w:t>
      </w:r>
      <w:r w:rsidR="00E420D9">
        <w:rPr>
          <w:rFonts w:ascii="Calibri" w:eastAsia="Calibri" w:hAnsi="Calibri" w:cs="Calibri"/>
          <w:i/>
          <w:color w:val="000000" w:themeColor="text1"/>
          <w:sz w:val="22"/>
          <w:szCs w:val="22"/>
          <w:lang w:val="bg-BG"/>
        </w:rPr>
        <w:t>т</w:t>
      </w:r>
      <w:r w:rsidRPr="00F457AD">
        <w:rPr>
          <w:rFonts w:ascii="Calibri" w:eastAsia="Calibri" w:hAnsi="Calibri" w:cs="Calibri"/>
          <w:i/>
          <w:color w:val="000000" w:themeColor="text1"/>
          <w:sz w:val="22"/>
          <w:szCs w:val="22"/>
          <w:lang w:val="bg-BG"/>
        </w:rPr>
        <w:t xml:space="preserve"> </w:t>
      </w:r>
      <w:r w:rsidR="00E420D9">
        <w:rPr>
          <w:rFonts w:ascii="Calibri" w:eastAsia="Calibri" w:hAnsi="Calibri" w:cs="Calibri"/>
          <w:i/>
          <w:color w:val="000000" w:themeColor="text1"/>
          <w:sz w:val="22"/>
          <w:szCs w:val="22"/>
          <w:lang w:val="bg-BG"/>
        </w:rPr>
        <w:t>размер на прогнозна инфлация</w:t>
      </w:r>
      <w:r w:rsidRPr="00F457AD">
        <w:rPr>
          <w:rFonts w:ascii="Calibri" w:eastAsia="Calibri" w:hAnsi="Calibri" w:cs="Calibri"/>
          <w:i/>
          <w:color w:val="000000" w:themeColor="text1"/>
          <w:sz w:val="22"/>
          <w:szCs w:val="22"/>
          <w:lang w:val="bg-BG"/>
        </w:rPr>
        <w:t xml:space="preserve"> и са разработени въз основа на действащите договори на дружеството за доставка на материали и външни услуги.</w:t>
      </w:r>
    </w:p>
    <w:p w:rsidR="00F457AD" w:rsidRPr="00F457AD" w:rsidRDefault="00F457AD" w:rsidP="00F457AD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i/>
          <w:color w:val="000000" w:themeColor="text1"/>
          <w:sz w:val="22"/>
          <w:szCs w:val="22"/>
          <w:lang w:val="bg-BG"/>
        </w:rPr>
      </w:pPr>
      <w:r w:rsidRPr="00F457AD">
        <w:rPr>
          <w:rFonts w:ascii="Calibri" w:eastAsia="Calibri" w:hAnsi="Calibri" w:cs="Calibri"/>
          <w:i/>
          <w:color w:val="000000" w:themeColor="text1"/>
          <w:sz w:val="22"/>
          <w:szCs w:val="22"/>
          <w:lang w:val="bg-BG"/>
        </w:rPr>
        <w:t>Одобрените цени на ВиК услуги се изменят всяка година със служебно решение на КЕВР, в което се отчита натрупаната от датата на одобряване на бизнес плана инфлация, която се изменя с редица коефициенти, отчитащи ефективността на дружеството, изпълнението на конкретни оперативни и капиталови разходи и нива на показатели за качество.</w:t>
      </w:r>
    </w:p>
    <w:p w:rsidR="00F457AD" w:rsidRPr="00F457AD" w:rsidRDefault="00F457AD" w:rsidP="00F457AD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i/>
          <w:color w:val="000000" w:themeColor="text1"/>
          <w:sz w:val="22"/>
          <w:szCs w:val="22"/>
          <w:lang w:val="bg-BG"/>
        </w:rPr>
      </w:pPr>
      <w:r w:rsidRPr="00F457AD">
        <w:rPr>
          <w:rFonts w:ascii="Calibri" w:eastAsia="Calibri" w:hAnsi="Calibri" w:cs="Calibri"/>
          <w:i/>
          <w:color w:val="000000" w:themeColor="text1"/>
          <w:sz w:val="22"/>
          <w:szCs w:val="22"/>
          <w:lang w:val="bg-BG"/>
        </w:rPr>
        <w:t>Двукратно през регулаторния период КЕВР отчита изпълнението на инвестициите и нивата на е</w:t>
      </w:r>
      <w:r w:rsidR="00E420D9">
        <w:rPr>
          <w:rFonts w:ascii="Calibri" w:eastAsia="Calibri" w:hAnsi="Calibri" w:cs="Calibri"/>
          <w:i/>
          <w:color w:val="000000" w:themeColor="text1"/>
          <w:sz w:val="22"/>
          <w:szCs w:val="22"/>
          <w:lang w:val="bg-BG"/>
        </w:rPr>
        <w:t>динни показатели за ефективност</w:t>
      </w:r>
      <w:r w:rsidRPr="00F457AD">
        <w:rPr>
          <w:rFonts w:ascii="Calibri" w:eastAsia="Calibri" w:hAnsi="Calibri" w:cs="Calibri"/>
          <w:i/>
          <w:color w:val="000000" w:themeColor="text1"/>
          <w:sz w:val="22"/>
          <w:szCs w:val="22"/>
          <w:lang w:val="bg-BG"/>
        </w:rPr>
        <w:t xml:space="preserve"> и коригира одобрените цени на ВиК услуги в зависимост от отчетените резултати – след изтичане на третата година от периода, </w:t>
      </w:r>
      <w:r w:rsidR="00E420D9">
        <w:rPr>
          <w:rFonts w:ascii="Calibri" w:eastAsia="Calibri" w:hAnsi="Calibri" w:cs="Calibri"/>
          <w:i/>
          <w:color w:val="000000" w:themeColor="text1"/>
          <w:sz w:val="22"/>
          <w:szCs w:val="22"/>
          <w:lang w:val="bg-BG"/>
        </w:rPr>
        <w:t xml:space="preserve">както </w:t>
      </w:r>
      <w:r w:rsidRPr="00F457AD">
        <w:rPr>
          <w:rFonts w:ascii="Calibri" w:eastAsia="Calibri" w:hAnsi="Calibri" w:cs="Calibri"/>
          <w:i/>
          <w:color w:val="000000" w:themeColor="text1"/>
          <w:sz w:val="22"/>
          <w:szCs w:val="22"/>
          <w:lang w:val="bg-BG"/>
        </w:rPr>
        <w:t>и след петата година.</w:t>
      </w:r>
    </w:p>
    <w:p w:rsidR="00F457AD" w:rsidRPr="00F457AD" w:rsidRDefault="00F457AD" w:rsidP="00F457AD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i/>
          <w:color w:val="000000" w:themeColor="text1"/>
          <w:sz w:val="22"/>
          <w:szCs w:val="22"/>
          <w:lang w:val="bg-BG"/>
        </w:rPr>
      </w:pPr>
      <w:r w:rsidRPr="00F457AD">
        <w:rPr>
          <w:rFonts w:ascii="Calibri" w:eastAsia="Calibri" w:hAnsi="Calibri" w:cs="Calibri"/>
          <w:i/>
          <w:color w:val="000000" w:themeColor="text1"/>
          <w:sz w:val="22"/>
          <w:szCs w:val="22"/>
          <w:lang w:val="bg-BG"/>
        </w:rPr>
        <w:t>През изминалия регулаторен период 2017-2021 г. Комисията изпълни всички тези изисквания за всички ВиК оператори, включително и за „ВиК-Видин“ ЕООД.</w:t>
      </w:r>
    </w:p>
    <w:p w:rsidR="00F457AD" w:rsidRPr="00F457AD" w:rsidRDefault="00F457AD" w:rsidP="00F457AD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i/>
          <w:color w:val="000000" w:themeColor="text1"/>
          <w:sz w:val="22"/>
          <w:szCs w:val="22"/>
          <w:lang w:val="bg-BG"/>
        </w:rPr>
      </w:pPr>
      <w:r w:rsidRPr="00F457AD">
        <w:rPr>
          <w:rFonts w:ascii="Calibri" w:eastAsia="Calibri" w:hAnsi="Calibri" w:cs="Calibri"/>
          <w:i/>
          <w:color w:val="000000" w:themeColor="text1"/>
          <w:sz w:val="22"/>
          <w:szCs w:val="22"/>
          <w:lang w:val="bg-BG"/>
        </w:rPr>
        <w:t xml:space="preserve">След изтичането на третата година от периода (2019 г.), КЕВР оцени изпълнението на инвестициите и показателите за ефективност на „ВиК-Видин“ ЕООД за първите три години (2017-2019 г.) и отчете съществено неизпълнение. В резултат, при изменението на одобрените цени на ВиК услуги за 2021 г. въпреки натрупаната почти 5% инфлация, одобрената комплексна цена в размер на 3,005 лв./м3 с ДДС бе намалена до 2,518 лв./м3 с ДДС, </w:t>
      </w:r>
      <w:r w:rsidR="00E420D9">
        <w:rPr>
          <w:rFonts w:ascii="Calibri" w:eastAsia="Calibri" w:hAnsi="Calibri" w:cs="Calibri"/>
          <w:i/>
          <w:color w:val="000000" w:themeColor="text1"/>
          <w:sz w:val="22"/>
          <w:szCs w:val="22"/>
          <w:lang w:val="bg-BG"/>
        </w:rPr>
        <w:t xml:space="preserve">което е </w:t>
      </w:r>
      <w:r w:rsidRPr="00F457AD">
        <w:rPr>
          <w:rFonts w:ascii="Calibri" w:eastAsia="Calibri" w:hAnsi="Calibri" w:cs="Calibri"/>
          <w:i/>
          <w:color w:val="000000" w:themeColor="text1"/>
          <w:sz w:val="22"/>
          <w:szCs w:val="22"/>
          <w:lang w:val="bg-BG"/>
        </w:rPr>
        <w:t xml:space="preserve">намаление </w:t>
      </w:r>
      <w:r w:rsidR="00E420D9">
        <w:rPr>
          <w:rFonts w:ascii="Calibri" w:eastAsia="Calibri" w:hAnsi="Calibri" w:cs="Calibri"/>
          <w:i/>
          <w:color w:val="000000" w:themeColor="text1"/>
          <w:sz w:val="22"/>
          <w:szCs w:val="22"/>
          <w:lang w:val="bg-BG"/>
        </w:rPr>
        <w:t>с</w:t>
      </w:r>
      <w:r w:rsidRPr="00F457AD">
        <w:rPr>
          <w:rFonts w:ascii="Calibri" w:eastAsia="Calibri" w:hAnsi="Calibri" w:cs="Calibri"/>
          <w:i/>
          <w:color w:val="000000" w:themeColor="text1"/>
          <w:sz w:val="22"/>
          <w:szCs w:val="22"/>
          <w:lang w:val="bg-BG"/>
        </w:rPr>
        <w:t xml:space="preserve"> над 16%.</w:t>
      </w:r>
    </w:p>
    <w:p w:rsidR="00F457AD" w:rsidRPr="00F457AD" w:rsidRDefault="00F457AD" w:rsidP="00F457AD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i/>
          <w:color w:val="000000" w:themeColor="text1"/>
          <w:sz w:val="22"/>
          <w:szCs w:val="22"/>
          <w:lang w:val="bg-BG"/>
        </w:rPr>
      </w:pPr>
      <w:r w:rsidRPr="00F457AD">
        <w:rPr>
          <w:rFonts w:ascii="Calibri" w:eastAsia="Calibri" w:hAnsi="Calibri" w:cs="Calibri"/>
          <w:i/>
          <w:color w:val="000000" w:themeColor="text1"/>
          <w:sz w:val="22"/>
          <w:szCs w:val="22"/>
          <w:lang w:val="bg-BG"/>
        </w:rPr>
        <w:t xml:space="preserve">След изтичането на петата година от периода (2021 г.) КЕВР оцени изпълнението на инвестициите и показателите за ефективност на „ВиК-Видин“ ЕООД за последните две години (2020-2021 г.) и отново отчете съществено неизпълнение. В резултат, при изменението на одобрените цени на ВиК услуги за 2023 г. въпреки натрупаната почти 3% инфлация, одобрената комплексна цена в размер на 3,913лв./м3 с ДДС бе намалена до 3,486 лв./м3 с ДДС, </w:t>
      </w:r>
      <w:r w:rsidR="004C6B44">
        <w:rPr>
          <w:rFonts w:ascii="Calibri" w:eastAsia="Calibri" w:hAnsi="Calibri" w:cs="Calibri"/>
          <w:i/>
          <w:color w:val="000000" w:themeColor="text1"/>
          <w:sz w:val="22"/>
          <w:szCs w:val="22"/>
          <w:lang w:val="bg-BG"/>
        </w:rPr>
        <w:t xml:space="preserve">което е </w:t>
      </w:r>
      <w:r w:rsidRPr="00F457AD">
        <w:rPr>
          <w:rFonts w:ascii="Calibri" w:eastAsia="Calibri" w:hAnsi="Calibri" w:cs="Calibri"/>
          <w:i/>
          <w:color w:val="000000" w:themeColor="text1"/>
          <w:sz w:val="22"/>
          <w:szCs w:val="22"/>
          <w:lang w:val="bg-BG"/>
        </w:rPr>
        <w:t>намаление от почти 11%.</w:t>
      </w:r>
    </w:p>
    <w:p w:rsidR="00F457AD" w:rsidRPr="00F457AD" w:rsidRDefault="00F457AD" w:rsidP="00F457AD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i/>
          <w:color w:val="000000" w:themeColor="text1"/>
          <w:sz w:val="22"/>
          <w:szCs w:val="22"/>
          <w:lang w:val="bg-BG"/>
        </w:rPr>
      </w:pPr>
      <w:r w:rsidRPr="00F457AD">
        <w:rPr>
          <w:rFonts w:ascii="Calibri" w:eastAsia="Calibri" w:hAnsi="Calibri" w:cs="Calibri"/>
          <w:i/>
          <w:color w:val="000000" w:themeColor="text1"/>
          <w:sz w:val="22"/>
          <w:szCs w:val="22"/>
          <w:lang w:val="bg-BG"/>
        </w:rPr>
        <w:t xml:space="preserve">През м. декември 2023 г. КЕВР служебно измени одобрените цени на „ВиК-Видин“ ЕООД за 2024 г. В тази процедура не се отчита изпълнението на одобрените инвестиции и нивата на показателите за ефективност, </w:t>
      </w:r>
      <w:r w:rsidR="004C6B44">
        <w:rPr>
          <w:rFonts w:ascii="Calibri" w:eastAsia="Calibri" w:hAnsi="Calibri" w:cs="Calibri"/>
          <w:i/>
          <w:color w:val="000000" w:themeColor="text1"/>
          <w:sz w:val="22"/>
          <w:szCs w:val="22"/>
          <w:lang w:val="bg-BG"/>
        </w:rPr>
        <w:t xml:space="preserve">което </w:t>
      </w:r>
      <w:r w:rsidRPr="00F457AD">
        <w:rPr>
          <w:rFonts w:ascii="Calibri" w:eastAsia="Calibri" w:hAnsi="Calibri" w:cs="Calibri"/>
          <w:i/>
          <w:color w:val="000000" w:themeColor="text1"/>
          <w:sz w:val="22"/>
          <w:szCs w:val="22"/>
          <w:lang w:val="bg-BG"/>
        </w:rPr>
        <w:t>ще бъде изпълнено след третата година на периода (2024 г.). Отчетената инфлация за периода м. септември 2022 – м. ноември 2023 г. е в размер на 8,1%. Одобрената комплексна цена за 2024 г. в размер на 4,116 лв./м3 с ДДС е изменена до 4,482 лв./м3 с ДДС, което е нивото на социална поносимост за област Видин.</w:t>
      </w:r>
    </w:p>
    <w:p w:rsidR="00F457AD" w:rsidRPr="00F457AD" w:rsidRDefault="00F457AD" w:rsidP="00F457AD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color w:val="1F497D"/>
          <w:sz w:val="22"/>
          <w:szCs w:val="22"/>
          <w:lang w:val="bg-BG"/>
        </w:rPr>
      </w:pPr>
    </w:p>
    <w:p w:rsidR="00F457AD" w:rsidRDefault="00F457AD" w:rsidP="00F457AD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-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Заложено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ли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е в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бизнес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плана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на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ВиК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-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Видин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вложение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на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част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от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средствата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и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ако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да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,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каква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част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или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процент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от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приходи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или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печалба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,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да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бъдат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вложени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в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подмяна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на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мрежата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?</w:t>
      </w:r>
    </w:p>
    <w:p w:rsidR="00E420D9" w:rsidRPr="00F457AD" w:rsidRDefault="00E420D9" w:rsidP="00F457AD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F457AD" w:rsidRPr="00F457AD" w:rsidRDefault="00E420D9" w:rsidP="00F457AD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</w:pPr>
      <w:r w:rsidRPr="00E420D9">
        <w:rPr>
          <w:rFonts w:ascii="Calibri" w:eastAsia="Calibri" w:hAnsi="Calibri" w:cs="Calibri"/>
          <w:b/>
          <w:i/>
          <w:color w:val="000000" w:themeColor="text1"/>
          <w:sz w:val="24"/>
          <w:szCs w:val="24"/>
          <w:lang w:val="bg-BG"/>
        </w:rPr>
        <w:t>Отговор :</w:t>
      </w:r>
      <w:r w:rsidRPr="00E420D9"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  <w:t xml:space="preserve"> </w:t>
      </w:r>
      <w:r w:rsidR="00F457AD"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  <w:t xml:space="preserve">- </w:t>
      </w:r>
      <w:r w:rsidR="00F457AD" w:rsidRPr="00F457AD"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  <w:t>В одобрения бизнес план са предвидени инвестиции в публичните ВиК системи и съоръжения, предоставени за експлоатация на „ВиК-Видин“ ЕООД от А</w:t>
      </w:r>
      <w:r w:rsidR="004C6B44"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  <w:t xml:space="preserve">социация по </w:t>
      </w:r>
      <w:r w:rsidR="00F457AD" w:rsidRPr="00F457AD"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  <w:t>ВиК-Видин, както и инвестиции в собствени активи на дружеството, необходими за осъществяване на дейността като ВиК оператор:</w:t>
      </w:r>
    </w:p>
    <w:tbl>
      <w:tblPr>
        <w:tblW w:w="9844" w:type="dxa"/>
        <w:tblInd w:w="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4"/>
        <w:gridCol w:w="960"/>
        <w:gridCol w:w="960"/>
        <w:gridCol w:w="960"/>
        <w:gridCol w:w="960"/>
        <w:gridCol w:w="960"/>
        <w:gridCol w:w="960"/>
        <w:gridCol w:w="960"/>
      </w:tblGrid>
      <w:tr w:rsidR="00F457AD" w:rsidRPr="00F457AD" w:rsidTr="00F457AD">
        <w:trPr>
          <w:trHeight w:val="284"/>
        </w:trPr>
        <w:tc>
          <w:tcPr>
            <w:tcW w:w="3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6"/>
                <w:szCs w:val="16"/>
                <w:lang w:eastAsia="bg-BG"/>
              </w:rPr>
            </w:pPr>
            <w:proofErr w:type="spellStart"/>
            <w:r w:rsidRPr="00F457AD"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6"/>
                <w:szCs w:val="16"/>
                <w:lang w:eastAsia="bg-BG"/>
              </w:rPr>
              <w:t>Услуга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6"/>
                <w:szCs w:val="16"/>
                <w:lang w:eastAsia="bg-BG"/>
              </w:rPr>
            </w:pPr>
            <w:r w:rsidRPr="00F457AD"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6"/>
                <w:szCs w:val="16"/>
                <w:lang w:eastAsia="bg-BG"/>
              </w:rPr>
              <w:t>2022 г.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6"/>
                <w:szCs w:val="16"/>
                <w:lang w:eastAsia="bg-BG"/>
              </w:rPr>
            </w:pPr>
            <w:r w:rsidRPr="00F457AD"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6"/>
                <w:szCs w:val="16"/>
                <w:lang w:eastAsia="bg-BG"/>
              </w:rPr>
              <w:t>2023 г.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6"/>
                <w:szCs w:val="16"/>
                <w:lang w:eastAsia="bg-BG"/>
              </w:rPr>
            </w:pPr>
            <w:r w:rsidRPr="00F457AD"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6"/>
                <w:szCs w:val="16"/>
                <w:lang w:eastAsia="bg-BG"/>
              </w:rPr>
              <w:t>2024 г.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6"/>
                <w:szCs w:val="16"/>
                <w:lang w:eastAsia="bg-BG"/>
              </w:rPr>
            </w:pPr>
            <w:r w:rsidRPr="00F457AD"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6"/>
                <w:szCs w:val="16"/>
                <w:lang w:eastAsia="bg-BG"/>
              </w:rPr>
              <w:t>2025 г.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6"/>
                <w:szCs w:val="16"/>
                <w:lang w:eastAsia="bg-BG"/>
              </w:rPr>
            </w:pPr>
            <w:r w:rsidRPr="00F457AD"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6"/>
                <w:szCs w:val="16"/>
                <w:lang w:eastAsia="bg-BG"/>
              </w:rPr>
              <w:t>2026 г.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6"/>
                <w:szCs w:val="16"/>
                <w:lang w:eastAsia="bg-BG"/>
              </w:rPr>
            </w:pPr>
            <w:proofErr w:type="spellStart"/>
            <w:r w:rsidRPr="00F457AD"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6"/>
                <w:szCs w:val="16"/>
                <w:lang w:eastAsia="bg-BG"/>
              </w:rPr>
              <w:t>Общо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6"/>
                <w:szCs w:val="16"/>
                <w:lang w:eastAsia="bg-BG"/>
              </w:rPr>
            </w:pPr>
            <w:proofErr w:type="spellStart"/>
            <w:r w:rsidRPr="00F457AD"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6"/>
                <w:szCs w:val="16"/>
                <w:lang w:eastAsia="bg-BG"/>
              </w:rPr>
              <w:t>Дял</w:t>
            </w:r>
            <w:proofErr w:type="spellEnd"/>
            <w:r w:rsidRPr="00F457AD"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6"/>
                <w:szCs w:val="16"/>
                <w:lang w:eastAsia="bg-BG"/>
              </w:rPr>
              <w:t xml:space="preserve"> </w:t>
            </w:r>
            <w:proofErr w:type="spellStart"/>
            <w:r w:rsidRPr="00F457AD"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6"/>
                <w:szCs w:val="16"/>
                <w:lang w:eastAsia="bg-BG"/>
              </w:rPr>
              <w:t>от</w:t>
            </w:r>
            <w:proofErr w:type="spellEnd"/>
            <w:r w:rsidRPr="00F457AD"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6"/>
                <w:szCs w:val="16"/>
                <w:lang w:eastAsia="bg-BG"/>
              </w:rPr>
              <w:t xml:space="preserve"> </w:t>
            </w:r>
            <w:proofErr w:type="spellStart"/>
            <w:r w:rsidRPr="00F457AD"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6"/>
                <w:szCs w:val="16"/>
                <w:lang w:eastAsia="bg-BG"/>
              </w:rPr>
              <w:t>общо</w:t>
            </w:r>
            <w:proofErr w:type="spellEnd"/>
          </w:p>
        </w:tc>
      </w:tr>
      <w:tr w:rsidR="00F457AD" w:rsidRPr="00F457AD" w:rsidTr="00F457AD">
        <w:trPr>
          <w:trHeight w:val="284"/>
        </w:trPr>
        <w:tc>
          <w:tcPr>
            <w:tcW w:w="3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8"/>
                <w:szCs w:val="18"/>
                <w:lang w:eastAsia="bg-BG"/>
              </w:rPr>
            </w:pPr>
            <w:proofErr w:type="spellStart"/>
            <w:r w:rsidRPr="00F457AD"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8"/>
                <w:szCs w:val="18"/>
                <w:lang w:eastAsia="bg-BG"/>
              </w:rPr>
              <w:lastRenderedPageBreak/>
              <w:t>Доставяне</w:t>
            </w:r>
            <w:proofErr w:type="spellEnd"/>
            <w:r w:rsidRPr="00F457AD"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8"/>
                <w:szCs w:val="18"/>
                <w:lang w:eastAsia="bg-BG"/>
              </w:rPr>
              <w:t xml:space="preserve"> </w:t>
            </w:r>
            <w:proofErr w:type="spellStart"/>
            <w:r w:rsidRPr="00F457AD"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8"/>
                <w:szCs w:val="18"/>
                <w:lang w:eastAsia="bg-BG"/>
              </w:rPr>
              <w:t>на</w:t>
            </w:r>
            <w:proofErr w:type="spellEnd"/>
            <w:r w:rsidRPr="00F457AD"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8"/>
                <w:szCs w:val="18"/>
                <w:lang w:eastAsia="bg-BG"/>
              </w:rPr>
              <w:t xml:space="preserve"> </w:t>
            </w:r>
            <w:proofErr w:type="spellStart"/>
            <w:r w:rsidRPr="00F457AD"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8"/>
                <w:szCs w:val="18"/>
                <w:lang w:eastAsia="bg-BG"/>
              </w:rPr>
              <w:t>вода</w:t>
            </w:r>
            <w:proofErr w:type="spellEnd"/>
            <w:r w:rsidRPr="00F457AD"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8"/>
                <w:szCs w:val="18"/>
                <w:lang w:eastAsia="bg-BG"/>
              </w:rPr>
              <w:t xml:space="preserve"> </w:t>
            </w:r>
            <w:proofErr w:type="spellStart"/>
            <w:r w:rsidRPr="00F457AD"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8"/>
                <w:szCs w:val="18"/>
                <w:lang w:eastAsia="bg-BG"/>
              </w:rPr>
              <w:t>на</w:t>
            </w:r>
            <w:proofErr w:type="spellEnd"/>
            <w:r w:rsidRPr="00F457AD"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8"/>
                <w:szCs w:val="18"/>
                <w:lang w:eastAsia="bg-BG"/>
              </w:rPr>
              <w:t xml:space="preserve"> </w:t>
            </w:r>
            <w:proofErr w:type="spellStart"/>
            <w:r w:rsidRPr="00F457AD"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8"/>
                <w:szCs w:val="18"/>
                <w:lang w:eastAsia="bg-BG"/>
              </w:rPr>
              <w:t>потребителите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djustRightInd/>
              <w:jc w:val="center"/>
              <w:textAlignment w:val="auto"/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F457AD"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6"/>
                <w:szCs w:val="16"/>
              </w:rPr>
              <w:t>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djustRightInd/>
              <w:jc w:val="center"/>
              <w:textAlignment w:val="auto"/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F457AD"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6"/>
                <w:szCs w:val="16"/>
              </w:rPr>
              <w:t>1 357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djustRightInd/>
              <w:jc w:val="center"/>
              <w:textAlignment w:val="auto"/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F457AD"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6"/>
                <w:szCs w:val="16"/>
              </w:rPr>
              <w:t>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djustRightInd/>
              <w:jc w:val="center"/>
              <w:textAlignment w:val="auto"/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F457AD"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6"/>
                <w:szCs w:val="16"/>
              </w:rPr>
              <w:t>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djustRightInd/>
              <w:jc w:val="center"/>
              <w:textAlignment w:val="auto"/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F457AD"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6"/>
                <w:szCs w:val="16"/>
              </w:rPr>
              <w:t>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djustRightInd/>
              <w:jc w:val="center"/>
              <w:textAlignment w:val="auto"/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F457AD"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6"/>
                <w:szCs w:val="16"/>
              </w:rPr>
              <w:t>3 520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djustRightInd/>
              <w:jc w:val="center"/>
              <w:textAlignment w:val="auto"/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F457AD"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6"/>
                <w:szCs w:val="16"/>
              </w:rPr>
              <w:t>77,6%</w:t>
            </w:r>
          </w:p>
        </w:tc>
      </w:tr>
      <w:tr w:rsidR="00F457AD" w:rsidRPr="00F457AD" w:rsidTr="00F457AD">
        <w:trPr>
          <w:trHeight w:val="284"/>
        </w:trPr>
        <w:tc>
          <w:tcPr>
            <w:tcW w:w="3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eastAsia="bg-BG"/>
              </w:rPr>
            </w:pPr>
            <w:proofErr w:type="spellStart"/>
            <w:r w:rsidRPr="00F457AD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eastAsia="bg-BG"/>
              </w:rPr>
              <w:t>Общо</w:t>
            </w:r>
            <w:proofErr w:type="spellEnd"/>
            <w:r w:rsidRPr="00F457AD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eastAsia="bg-BG"/>
              </w:rPr>
              <w:t xml:space="preserve"> </w:t>
            </w:r>
            <w:proofErr w:type="spellStart"/>
            <w:r w:rsidRPr="00F457AD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eastAsia="bg-BG"/>
              </w:rPr>
              <w:t>инвестиции</w:t>
            </w:r>
            <w:proofErr w:type="spellEnd"/>
            <w:r w:rsidRPr="00F457AD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eastAsia="bg-BG"/>
              </w:rPr>
              <w:t xml:space="preserve"> в </w:t>
            </w:r>
            <w:proofErr w:type="spellStart"/>
            <w:r w:rsidRPr="00F457AD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eastAsia="bg-BG"/>
              </w:rPr>
              <w:t>публични</w:t>
            </w:r>
            <w:proofErr w:type="spellEnd"/>
            <w:r w:rsidRPr="00F457AD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eastAsia="bg-BG"/>
              </w:rPr>
              <w:t xml:space="preserve"> </w:t>
            </w:r>
            <w:proofErr w:type="spellStart"/>
            <w:r w:rsidRPr="00F457AD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eastAsia="bg-BG"/>
              </w:rPr>
              <w:t>активи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djustRightInd/>
              <w:jc w:val="right"/>
              <w:textAlignment w:val="auto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00F457AD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djustRightInd/>
              <w:jc w:val="right"/>
              <w:textAlignment w:val="auto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00F457AD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1 230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djustRightInd/>
              <w:jc w:val="right"/>
              <w:textAlignment w:val="auto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00F457AD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djustRightInd/>
              <w:jc w:val="right"/>
              <w:textAlignment w:val="auto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00F457AD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djustRightInd/>
              <w:jc w:val="right"/>
              <w:textAlignment w:val="auto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00F457AD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djustRightInd/>
              <w:jc w:val="right"/>
              <w:textAlignment w:val="auto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00F457AD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2 829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djustRightInd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00F457AD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62,4%</w:t>
            </w:r>
          </w:p>
        </w:tc>
      </w:tr>
      <w:tr w:rsidR="00F457AD" w:rsidRPr="00F457AD" w:rsidTr="00F457AD">
        <w:trPr>
          <w:trHeight w:val="284"/>
        </w:trPr>
        <w:tc>
          <w:tcPr>
            <w:tcW w:w="3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eastAsia="bg-BG"/>
              </w:rPr>
            </w:pPr>
            <w:proofErr w:type="spellStart"/>
            <w:r w:rsidRPr="00F457AD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eastAsia="bg-BG"/>
              </w:rPr>
              <w:t>Общо</w:t>
            </w:r>
            <w:proofErr w:type="spellEnd"/>
            <w:r w:rsidRPr="00F457AD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eastAsia="bg-BG"/>
              </w:rPr>
              <w:t xml:space="preserve"> </w:t>
            </w:r>
            <w:proofErr w:type="spellStart"/>
            <w:r w:rsidRPr="00F457AD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eastAsia="bg-BG"/>
              </w:rPr>
              <w:t>инвестиции</w:t>
            </w:r>
            <w:proofErr w:type="spellEnd"/>
            <w:r w:rsidRPr="00F457AD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eastAsia="bg-BG"/>
              </w:rPr>
              <w:t xml:space="preserve"> в </w:t>
            </w:r>
            <w:proofErr w:type="spellStart"/>
            <w:r w:rsidRPr="00F457AD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eastAsia="bg-BG"/>
              </w:rPr>
              <w:t>собствени</w:t>
            </w:r>
            <w:proofErr w:type="spellEnd"/>
            <w:r w:rsidRPr="00F457AD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eastAsia="bg-BG"/>
              </w:rPr>
              <w:t xml:space="preserve"> </w:t>
            </w:r>
            <w:proofErr w:type="spellStart"/>
            <w:r w:rsidRPr="00F457AD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eastAsia="bg-BG"/>
              </w:rPr>
              <w:t>активи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djustRightInd/>
              <w:jc w:val="right"/>
              <w:textAlignment w:val="auto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00F457AD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djustRightInd/>
              <w:jc w:val="right"/>
              <w:textAlignment w:val="auto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00F457AD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djustRightInd/>
              <w:jc w:val="right"/>
              <w:textAlignment w:val="auto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00F457AD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djustRightInd/>
              <w:jc w:val="right"/>
              <w:textAlignment w:val="auto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00F457AD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djustRightInd/>
              <w:jc w:val="right"/>
              <w:textAlignment w:val="auto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00F457AD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djustRightInd/>
              <w:jc w:val="right"/>
              <w:textAlignment w:val="auto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00F457AD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djustRightInd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00F457AD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15,3%</w:t>
            </w:r>
          </w:p>
        </w:tc>
      </w:tr>
      <w:tr w:rsidR="00F457AD" w:rsidRPr="00F457AD" w:rsidTr="00F457AD">
        <w:trPr>
          <w:trHeight w:val="284"/>
        </w:trPr>
        <w:tc>
          <w:tcPr>
            <w:tcW w:w="3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8"/>
                <w:szCs w:val="18"/>
                <w:lang w:eastAsia="bg-BG"/>
              </w:rPr>
            </w:pPr>
            <w:proofErr w:type="spellStart"/>
            <w:r w:rsidRPr="00F457AD"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8"/>
                <w:szCs w:val="18"/>
                <w:lang w:eastAsia="bg-BG"/>
              </w:rPr>
              <w:t>Отвеждане</w:t>
            </w:r>
            <w:proofErr w:type="spellEnd"/>
            <w:r w:rsidRPr="00F457AD"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8"/>
                <w:szCs w:val="18"/>
                <w:lang w:eastAsia="bg-BG"/>
              </w:rPr>
              <w:t xml:space="preserve"> </w:t>
            </w:r>
            <w:proofErr w:type="spellStart"/>
            <w:r w:rsidRPr="00F457AD"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8"/>
                <w:szCs w:val="18"/>
                <w:lang w:eastAsia="bg-BG"/>
              </w:rPr>
              <w:t>на</w:t>
            </w:r>
            <w:proofErr w:type="spellEnd"/>
            <w:r w:rsidRPr="00F457AD"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8"/>
                <w:szCs w:val="18"/>
                <w:lang w:eastAsia="bg-BG"/>
              </w:rPr>
              <w:t xml:space="preserve"> </w:t>
            </w:r>
            <w:proofErr w:type="spellStart"/>
            <w:r w:rsidRPr="00F457AD"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8"/>
                <w:szCs w:val="18"/>
                <w:lang w:eastAsia="bg-BG"/>
              </w:rPr>
              <w:t>отпадъчните</w:t>
            </w:r>
            <w:proofErr w:type="spellEnd"/>
            <w:r w:rsidRPr="00F457AD"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8"/>
                <w:szCs w:val="18"/>
                <w:lang w:eastAsia="bg-BG"/>
              </w:rPr>
              <w:t xml:space="preserve"> </w:t>
            </w:r>
            <w:proofErr w:type="spellStart"/>
            <w:r w:rsidRPr="00F457AD"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8"/>
                <w:szCs w:val="18"/>
                <w:lang w:eastAsia="bg-BG"/>
              </w:rPr>
              <w:t>води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djustRightInd/>
              <w:jc w:val="center"/>
              <w:textAlignment w:val="auto"/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F457AD"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6"/>
                <w:szCs w:val="16"/>
              </w:rPr>
              <w:t>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djustRightInd/>
              <w:jc w:val="center"/>
              <w:textAlignment w:val="auto"/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F457AD"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6"/>
                <w:szCs w:val="16"/>
              </w:rPr>
              <w:t>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djustRightInd/>
              <w:jc w:val="center"/>
              <w:textAlignment w:val="auto"/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F457AD"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6"/>
                <w:szCs w:val="16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djustRightInd/>
              <w:jc w:val="center"/>
              <w:textAlignment w:val="auto"/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F457AD"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6"/>
                <w:szCs w:val="16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djustRightInd/>
              <w:jc w:val="center"/>
              <w:textAlignment w:val="auto"/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F457AD"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6"/>
                <w:szCs w:val="16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djustRightInd/>
              <w:jc w:val="center"/>
              <w:textAlignment w:val="auto"/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F457AD"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6"/>
                <w:szCs w:val="16"/>
              </w:rPr>
              <w:t>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djustRightInd/>
              <w:jc w:val="center"/>
              <w:textAlignment w:val="auto"/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F457AD"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6"/>
                <w:szCs w:val="16"/>
              </w:rPr>
              <w:t>17,6%</w:t>
            </w:r>
          </w:p>
        </w:tc>
      </w:tr>
      <w:tr w:rsidR="00F457AD" w:rsidRPr="00F457AD" w:rsidTr="00F457AD">
        <w:trPr>
          <w:trHeight w:val="284"/>
        </w:trPr>
        <w:tc>
          <w:tcPr>
            <w:tcW w:w="3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eastAsia="bg-BG"/>
              </w:rPr>
            </w:pPr>
            <w:proofErr w:type="spellStart"/>
            <w:r w:rsidRPr="00F457AD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eastAsia="bg-BG"/>
              </w:rPr>
              <w:t>Общо</w:t>
            </w:r>
            <w:proofErr w:type="spellEnd"/>
            <w:r w:rsidRPr="00F457AD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eastAsia="bg-BG"/>
              </w:rPr>
              <w:t xml:space="preserve"> </w:t>
            </w:r>
            <w:proofErr w:type="spellStart"/>
            <w:r w:rsidRPr="00F457AD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eastAsia="bg-BG"/>
              </w:rPr>
              <w:t>инвестиции</w:t>
            </w:r>
            <w:proofErr w:type="spellEnd"/>
            <w:r w:rsidRPr="00F457AD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eastAsia="bg-BG"/>
              </w:rPr>
              <w:t xml:space="preserve"> в </w:t>
            </w:r>
            <w:proofErr w:type="spellStart"/>
            <w:r w:rsidRPr="00F457AD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eastAsia="bg-BG"/>
              </w:rPr>
              <w:t>публични</w:t>
            </w:r>
            <w:proofErr w:type="spellEnd"/>
            <w:r w:rsidRPr="00F457AD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eastAsia="bg-BG"/>
              </w:rPr>
              <w:t xml:space="preserve"> </w:t>
            </w:r>
            <w:proofErr w:type="spellStart"/>
            <w:r w:rsidRPr="00F457AD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eastAsia="bg-BG"/>
              </w:rPr>
              <w:t>активи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djustRightInd/>
              <w:jc w:val="right"/>
              <w:textAlignment w:val="auto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00F457AD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djustRightInd/>
              <w:jc w:val="right"/>
              <w:textAlignment w:val="auto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00F457AD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djustRightInd/>
              <w:jc w:val="right"/>
              <w:textAlignment w:val="auto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00F457AD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djustRightInd/>
              <w:jc w:val="right"/>
              <w:textAlignment w:val="auto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00F457AD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djustRightInd/>
              <w:jc w:val="right"/>
              <w:textAlignment w:val="auto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00F457AD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djustRightInd/>
              <w:jc w:val="right"/>
              <w:textAlignment w:val="auto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00F457AD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djustRightInd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00F457AD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16,6%</w:t>
            </w:r>
          </w:p>
        </w:tc>
      </w:tr>
      <w:tr w:rsidR="00F457AD" w:rsidRPr="00F457AD" w:rsidTr="00F457AD">
        <w:trPr>
          <w:trHeight w:val="284"/>
        </w:trPr>
        <w:tc>
          <w:tcPr>
            <w:tcW w:w="3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eastAsia="bg-BG"/>
              </w:rPr>
            </w:pPr>
            <w:proofErr w:type="spellStart"/>
            <w:r w:rsidRPr="00F457AD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eastAsia="bg-BG"/>
              </w:rPr>
              <w:t>Общо</w:t>
            </w:r>
            <w:proofErr w:type="spellEnd"/>
            <w:r w:rsidRPr="00F457AD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eastAsia="bg-BG"/>
              </w:rPr>
              <w:t xml:space="preserve"> </w:t>
            </w:r>
            <w:proofErr w:type="spellStart"/>
            <w:r w:rsidRPr="00F457AD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eastAsia="bg-BG"/>
              </w:rPr>
              <w:t>инвестиции</w:t>
            </w:r>
            <w:proofErr w:type="spellEnd"/>
            <w:r w:rsidRPr="00F457AD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eastAsia="bg-BG"/>
              </w:rPr>
              <w:t xml:space="preserve"> в </w:t>
            </w:r>
            <w:proofErr w:type="spellStart"/>
            <w:r w:rsidRPr="00F457AD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eastAsia="bg-BG"/>
              </w:rPr>
              <w:t>собствени</w:t>
            </w:r>
            <w:proofErr w:type="spellEnd"/>
            <w:r w:rsidRPr="00F457AD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eastAsia="bg-BG"/>
              </w:rPr>
              <w:t xml:space="preserve"> </w:t>
            </w:r>
            <w:proofErr w:type="spellStart"/>
            <w:r w:rsidRPr="00F457AD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eastAsia="bg-BG"/>
              </w:rPr>
              <w:t>активи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djustRightInd/>
              <w:jc w:val="right"/>
              <w:textAlignment w:val="auto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00F457AD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djustRightInd/>
              <w:jc w:val="right"/>
              <w:textAlignment w:val="auto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00F457AD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djustRightInd/>
              <w:jc w:val="right"/>
              <w:textAlignment w:val="auto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00F457AD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djustRightInd/>
              <w:jc w:val="right"/>
              <w:textAlignment w:val="auto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00F457AD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djustRightInd/>
              <w:jc w:val="right"/>
              <w:textAlignment w:val="auto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00F457AD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djustRightInd/>
              <w:jc w:val="right"/>
              <w:textAlignment w:val="auto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00F457AD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djustRightInd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00F457AD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1,0%</w:t>
            </w:r>
          </w:p>
        </w:tc>
      </w:tr>
      <w:tr w:rsidR="00F457AD" w:rsidRPr="00F457AD" w:rsidTr="00F457AD">
        <w:trPr>
          <w:trHeight w:val="284"/>
        </w:trPr>
        <w:tc>
          <w:tcPr>
            <w:tcW w:w="3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8"/>
                <w:szCs w:val="18"/>
                <w:lang w:eastAsia="bg-BG"/>
              </w:rPr>
            </w:pPr>
            <w:proofErr w:type="spellStart"/>
            <w:r w:rsidRPr="00F457AD"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8"/>
                <w:szCs w:val="18"/>
                <w:lang w:eastAsia="bg-BG"/>
              </w:rPr>
              <w:t>Пречистване</w:t>
            </w:r>
            <w:proofErr w:type="spellEnd"/>
            <w:r w:rsidRPr="00F457AD"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8"/>
                <w:szCs w:val="18"/>
                <w:lang w:eastAsia="bg-BG"/>
              </w:rPr>
              <w:t xml:space="preserve"> </w:t>
            </w:r>
            <w:proofErr w:type="spellStart"/>
            <w:r w:rsidRPr="00F457AD"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8"/>
                <w:szCs w:val="18"/>
                <w:lang w:eastAsia="bg-BG"/>
              </w:rPr>
              <w:t>на</w:t>
            </w:r>
            <w:proofErr w:type="spellEnd"/>
            <w:r w:rsidRPr="00F457AD"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8"/>
                <w:szCs w:val="18"/>
                <w:lang w:eastAsia="bg-BG"/>
              </w:rPr>
              <w:t xml:space="preserve"> </w:t>
            </w:r>
            <w:proofErr w:type="spellStart"/>
            <w:r w:rsidRPr="00F457AD"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8"/>
                <w:szCs w:val="18"/>
                <w:lang w:eastAsia="bg-BG"/>
              </w:rPr>
              <w:t>отпадъчните</w:t>
            </w:r>
            <w:proofErr w:type="spellEnd"/>
            <w:r w:rsidRPr="00F457AD"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8"/>
                <w:szCs w:val="18"/>
                <w:lang w:eastAsia="bg-BG"/>
              </w:rPr>
              <w:t xml:space="preserve"> </w:t>
            </w:r>
            <w:proofErr w:type="spellStart"/>
            <w:r w:rsidRPr="00F457AD"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8"/>
                <w:szCs w:val="18"/>
                <w:lang w:eastAsia="bg-BG"/>
              </w:rPr>
              <w:t>води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djustRightInd/>
              <w:jc w:val="center"/>
              <w:textAlignment w:val="auto"/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F457AD"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6"/>
                <w:szCs w:val="16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djustRightInd/>
              <w:jc w:val="center"/>
              <w:textAlignment w:val="auto"/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F457AD"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djustRightInd/>
              <w:jc w:val="center"/>
              <w:textAlignment w:val="auto"/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F457AD"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6"/>
                <w:szCs w:val="16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djustRightInd/>
              <w:jc w:val="center"/>
              <w:textAlignment w:val="auto"/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F457AD"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6"/>
                <w:szCs w:val="16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djustRightInd/>
              <w:jc w:val="center"/>
              <w:textAlignment w:val="auto"/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F457AD"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6"/>
                <w:szCs w:val="16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djustRightInd/>
              <w:jc w:val="center"/>
              <w:textAlignment w:val="auto"/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F457AD"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6"/>
                <w:szCs w:val="16"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djustRightInd/>
              <w:jc w:val="center"/>
              <w:textAlignment w:val="auto"/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F457AD"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6"/>
                <w:szCs w:val="16"/>
              </w:rPr>
              <w:t>4,7%</w:t>
            </w:r>
          </w:p>
        </w:tc>
      </w:tr>
      <w:tr w:rsidR="00F457AD" w:rsidRPr="00F457AD" w:rsidTr="00F457AD">
        <w:trPr>
          <w:trHeight w:val="284"/>
        </w:trPr>
        <w:tc>
          <w:tcPr>
            <w:tcW w:w="3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eastAsia="bg-BG"/>
              </w:rPr>
            </w:pPr>
            <w:proofErr w:type="spellStart"/>
            <w:r w:rsidRPr="00F457AD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eastAsia="bg-BG"/>
              </w:rPr>
              <w:t>Общо</w:t>
            </w:r>
            <w:proofErr w:type="spellEnd"/>
            <w:r w:rsidRPr="00F457AD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eastAsia="bg-BG"/>
              </w:rPr>
              <w:t xml:space="preserve"> </w:t>
            </w:r>
            <w:proofErr w:type="spellStart"/>
            <w:r w:rsidRPr="00F457AD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eastAsia="bg-BG"/>
              </w:rPr>
              <w:t>инвестиции</w:t>
            </w:r>
            <w:proofErr w:type="spellEnd"/>
            <w:r w:rsidRPr="00F457AD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eastAsia="bg-BG"/>
              </w:rPr>
              <w:t xml:space="preserve"> в </w:t>
            </w:r>
            <w:proofErr w:type="spellStart"/>
            <w:r w:rsidRPr="00F457AD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eastAsia="bg-BG"/>
              </w:rPr>
              <w:t>публични</w:t>
            </w:r>
            <w:proofErr w:type="spellEnd"/>
            <w:r w:rsidRPr="00F457AD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eastAsia="bg-BG"/>
              </w:rPr>
              <w:t xml:space="preserve"> </w:t>
            </w:r>
            <w:proofErr w:type="spellStart"/>
            <w:r w:rsidRPr="00F457AD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eastAsia="bg-BG"/>
              </w:rPr>
              <w:t>активи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djustRightInd/>
              <w:jc w:val="right"/>
              <w:textAlignment w:val="auto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00F457AD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djustRightInd/>
              <w:jc w:val="right"/>
              <w:textAlignment w:val="auto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00F457AD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djustRightInd/>
              <w:jc w:val="right"/>
              <w:textAlignment w:val="auto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00F457AD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djustRightInd/>
              <w:jc w:val="right"/>
              <w:textAlignment w:val="auto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00F457AD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djustRightInd/>
              <w:jc w:val="right"/>
              <w:textAlignment w:val="auto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00F457AD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djustRightInd/>
              <w:jc w:val="right"/>
              <w:textAlignment w:val="auto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00F457AD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djustRightInd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00F457AD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3,3%</w:t>
            </w:r>
          </w:p>
        </w:tc>
      </w:tr>
      <w:tr w:rsidR="00F457AD" w:rsidRPr="00F457AD" w:rsidTr="00F457AD">
        <w:trPr>
          <w:trHeight w:val="284"/>
        </w:trPr>
        <w:tc>
          <w:tcPr>
            <w:tcW w:w="3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eastAsia="bg-BG"/>
              </w:rPr>
            </w:pPr>
            <w:proofErr w:type="spellStart"/>
            <w:r w:rsidRPr="00F457AD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eastAsia="bg-BG"/>
              </w:rPr>
              <w:t>Общо</w:t>
            </w:r>
            <w:proofErr w:type="spellEnd"/>
            <w:r w:rsidRPr="00F457AD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eastAsia="bg-BG"/>
              </w:rPr>
              <w:t xml:space="preserve"> </w:t>
            </w:r>
            <w:proofErr w:type="spellStart"/>
            <w:r w:rsidRPr="00F457AD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eastAsia="bg-BG"/>
              </w:rPr>
              <w:t>инвестиции</w:t>
            </w:r>
            <w:proofErr w:type="spellEnd"/>
            <w:r w:rsidRPr="00F457AD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eastAsia="bg-BG"/>
              </w:rPr>
              <w:t xml:space="preserve"> в </w:t>
            </w:r>
            <w:proofErr w:type="spellStart"/>
            <w:r w:rsidRPr="00F457AD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eastAsia="bg-BG"/>
              </w:rPr>
              <w:t>собствени</w:t>
            </w:r>
            <w:proofErr w:type="spellEnd"/>
            <w:r w:rsidRPr="00F457AD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eastAsia="bg-BG"/>
              </w:rPr>
              <w:t xml:space="preserve"> </w:t>
            </w:r>
            <w:proofErr w:type="spellStart"/>
            <w:r w:rsidRPr="00F457AD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eastAsia="bg-BG"/>
              </w:rPr>
              <w:t>активи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djustRightInd/>
              <w:jc w:val="right"/>
              <w:textAlignment w:val="auto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00F457AD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djustRightInd/>
              <w:jc w:val="right"/>
              <w:textAlignment w:val="auto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00F457AD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djustRightInd/>
              <w:jc w:val="right"/>
              <w:textAlignment w:val="auto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00F457AD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djustRightInd/>
              <w:jc w:val="right"/>
              <w:textAlignment w:val="auto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00F457AD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djustRightInd/>
              <w:jc w:val="right"/>
              <w:textAlignment w:val="auto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00F457AD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djustRightInd/>
              <w:jc w:val="right"/>
              <w:textAlignment w:val="auto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00F457AD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djustRightInd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00F457AD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1,4%</w:t>
            </w:r>
          </w:p>
        </w:tc>
      </w:tr>
      <w:tr w:rsidR="00F457AD" w:rsidRPr="00F457AD" w:rsidTr="00F457AD">
        <w:trPr>
          <w:trHeight w:val="284"/>
        </w:trPr>
        <w:tc>
          <w:tcPr>
            <w:tcW w:w="3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6"/>
                <w:szCs w:val="16"/>
                <w:lang w:eastAsia="bg-BG"/>
              </w:rPr>
            </w:pPr>
            <w:r w:rsidRPr="00F457AD"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6"/>
                <w:szCs w:val="16"/>
                <w:lang w:eastAsia="bg-BG"/>
              </w:rPr>
              <w:t>ОБЩО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djustRightInd/>
              <w:jc w:val="center"/>
              <w:textAlignment w:val="auto"/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F457AD"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6"/>
                <w:szCs w:val="16"/>
              </w:rPr>
              <w:t>1 364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djustRightInd/>
              <w:jc w:val="center"/>
              <w:textAlignment w:val="auto"/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F457AD"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6"/>
                <w:szCs w:val="16"/>
              </w:rPr>
              <w:t>1 700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djustRightInd/>
              <w:jc w:val="center"/>
              <w:textAlignment w:val="auto"/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F457AD"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6"/>
                <w:szCs w:val="16"/>
              </w:rPr>
              <w:t>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djustRightInd/>
              <w:jc w:val="center"/>
              <w:textAlignment w:val="auto"/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F457AD"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6"/>
                <w:szCs w:val="16"/>
              </w:rPr>
              <w:t>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djustRightInd/>
              <w:jc w:val="center"/>
              <w:textAlignment w:val="auto"/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F457AD"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6"/>
                <w:szCs w:val="16"/>
              </w:rPr>
              <w:t>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djustRightInd/>
              <w:jc w:val="center"/>
              <w:textAlignment w:val="auto"/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F457AD"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6"/>
                <w:szCs w:val="16"/>
              </w:rPr>
              <w:t>4 535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djustRightInd/>
              <w:jc w:val="center"/>
              <w:textAlignment w:val="auto"/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F457AD">
              <w:rPr>
                <w:rFonts w:ascii="Calibri" w:eastAsia="Calibri" w:hAnsi="Calibri" w:cs="Calibri"/>
                <w:b/>
                <w:bCs/>
                <w:i/>
                <w:color w:val="000000" w:themeColor="text1"/>
                <w:sz w:val="16"/>
                <w:szCs w:val="16"/>
              </w:rPr>
              <w:t>100,0%</w:t>
            </w:r>
          </w:p>
        </w:tc>
      </w:tr>
      <w:tr w:rsidR="00F457AD" w:rsidRPr="00F457AD" w:rsidTr="00F457AD">
        <w:trPr>
          <w:trHeight w:val="284"/>
        </w:trPr>
        <w:tc>
          <w:tcPr>
            <w:tcW w:w="3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lang w:eastAsia="bg-BG"/>
              </w:rPr>
            </w:pPr>
            <w:proofErr w:type="spellStart"/>
            <w:r w:rsidRPr="00F457AD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lang w:eastAsia="bg-BG"/>
              </w:rPr>
              <w:t>Общо</w:t>
            </w:r>
            <w:proofErr w:type="spellEnd"/>
            <w:r w:rsidRPr="00F457AD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lang w:eastAsia="bg-BG"/>
              </w:rPr>
              <w:t xml:space="preserve"> </w:t>
            </w:r>
            <w:proofErr w:type="spellStart"/>
            <w:r w:rsidRPr="00F457AD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lang w:eastAsia="bg-BG"/>
              </w:rPr>
              <w:t>инвестиции</w:t>
            </w:r>
            <w:proofErr w:type="spellEnd"/>
            <w:r w:rsidRPr="00F457AD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lang w:eastAsia="bg-BG"/>
              </w:rPr>
              <w:t xml:space="preserve"> в </w:t>
            </w:r>
            <w:proofErr w:type="spellStart"/>
            <w:r w:rsidRPr="00F457AD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lang w:eastAsia="bg-BG"/>
              </w:rPr>
              <w:t>публични</w:t>
            </w:r>
            <w:proofErr w:type="spellEnd"/>
            <w:r w:rsidRPr="00F457AD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lang w:eastAsia="bg-BG"/>
              </w:rPr>
              <w:t xml:space="preserve"> </w:t>
            </w:r>
            <w:proofErr w:type="spellStart"/>
            <w:r w:rsidRPr="00F457AD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lang w:eastAsia="bg-BG"/>
              </w:rPr>
              <w:t>активи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djustRightInd/>
              <w:jc w:val="right"/>
              <w:textAlignment w:val="auto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00F457AD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1 186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djustRightInd/>
              <w:jc w:val="right"/>
              <w:textAlignment w:val="auto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00F457AD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1 552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djustRightInd/>
              <w:jc w:val="right"/>
              <w:textAlignment w:val="auto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00F457AD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djustRightInd/>
              <w:jc w:val="right"/>
              <w:textAlignment w:val="auto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00F457AD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djustRightInd/>
              <w:jc w:val="right"/>
              <w:textAlignment w:val="auto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00F457AD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djustRightInd/>
              <w:jc w:val="right"/>
              <w:textAlignment w:val="auto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00F457AD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3 732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djustRightInd/>
              <w:jc w:val="center"/>
              <w:textAlignment w:val="auto"/>
              <w:rPr>
                <w:rFonts w:ascii="Calibri" w:eastAsia="Calibri" w:hAnsi="Calibri" w:cs="Calibri"/>
                <w:i/>
                <w:color w:val="000000" w:themeColor="text1"/>
                <w:sz w:val="16"/>
                <w:szCs w:val="16"/>
              </w:rPr>
            </w:pPr>
            <w:r w:rsidRPr="00F457AD">
              <w:rPr>
                <w:rFonts w:ascii="Calibri" w:eastAsia="Calibri" w:hAnsi="Calibri" w:cs="Calibri"/>
                <w:i/>
                <w:color w:val="000000" w:themeColor="text1"/>
                <w:sz w:val="16"/>
                <w:szCs w:val="16"/>
              </w:rPr>
              <w:t>82,3%</w:t>
            </w:r>
          </w:p>
        </w:tc>
      </w:tr>
      <w:tr w:rsidR="00F457AD" w:rsidRPr="00F457AD" w:rsidTr="00F457AD">
        <w:trPr>
          <w:trHeight w:val="284"/>
        </w:trPr>
        <w:tc>
          <w:tcPr>
            <w:tcW w:w="3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lang w:eastAsia="bg-BG"/>
              </w:rPr>
            </w:pPr>
            <w:proofErr w:type="spellStart"/>
            <w:r w:rsidRPr="00F457AD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lang w:eastAsia="bg-BG"/>
              </w:rPr>
              <w:t>Общо</w:t>
            </w:r>
            <w:proofErr w:type="spellEnd"/>
            <w:r w:rsidRPr="00F457AD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lang w:eastAsia="bg-BG"/>
              </w:rPr>
              <w:t xml:space="preserve"> </w:t>
            </w:r>
            <w:proofErr w:type="spellStart"/>
            <w:r w:rsidRPr="00F457AD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lang w:eastAsia="bg-BG"/>
              </w:rPr>
              <w:t>инвестиции</w:t>
            </w:r>
            <w:proofErr w:type="spellEnd"/>
            <w:r w:rsidRPr="00F457AD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lang w:eastAsia="bg-BG"/>
              </w:rPr>
              <w:t xml:space="preserve"> в </w:t>
            </w:r>
            <w:proofErr w:type="spellStart"/>
            <w:r w:rsidRPr="00F457AD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lang w:eastAsia="bg-BG"/>
              </w:rPr>
              <w:t>собствени</w:t>
            </w:r>
            <w:proofErr w:type="spellEnd"/>
            <w:r w:rsidRPr="00F457AD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lang w:eastAsia="bg-BG"/>
              </w:rPr>
              <w:t xml:space="preserve"> </w:t>
            </w:r>
            <w:proofErr w:type="spellStart"/>
            <w:r w:rsidRPr="00F457AD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lang w:eastAsia="bg-BG"/>
              </w:rPr>
              <w:t>активи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djustRightInd/>
              <w:jc w:val="right"/>
              <w:textAlignment w:val="auto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00F457AD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djustRightInd/>
              <w:jc w:val="right"/>
              <w:textAlignment w:val="auto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00F457AD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djustRightInd/>
              <w:jc w:val="right"/>
              <w:textAlignment w:val="auto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00F457AD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djustRightInd/>
              <w:jc w:val="right"/>
              <w:textAlignment w:val="auto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00F457AD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djustRightInd/>
              <w:jc w:val="right"/>
              <w:textAlignment w:val="auto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00F457AD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djustRightInd/>
              <w:jc w:val="right"/>
              <w:textAlignment w:val="auto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00F457AD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7AD" w:rsidRPr="00F457AD" w:rsidRDefault="00F457AD" w:rsidP="00F457AD">
            <w:pPr>
              <w:overflowPunct/>
              <w:adjustRightInd/>
              <w:jc w:val="center"/>
              <w:textAlignment w:val="auto"/>
              <w:rPr>
                <w:rFonts w:ascii="Calibri" w:eastAsia="Calibri" w:hAnsi="Calibri" w:cs="Calibri"/>
                <w:i/>
                <w:color w:val="000000" w:themeColor="text1"/>
                <w:sz w:val="16"/>
                <w:szCs w:val="16"/>
              </w:rPr>
            </w:pPr>
            <w:r w:rsidRPr="00F457AD">
              <w:rPr>
                <w:rFonts w:ascii="Calibri" w:eastAsia="Calibri" w:hAnsi="Calibri" w:cs="Calibri"/>
                <w:i/>
                <w:color w:val="000000" w:themeColor="text1"/>
                <w:sz w:val="16"/>
                <w:szCs w:val="16"/>
              </w:rPr>
              <w:t>17,7%</w:t>
            </w:r>
          </w:p>
        </w:tc>
      </w:tr>
    </w:tbl>
    <w:p w:rsidR="00F457AD" w:rsidRPr="00F457AD" w:rsidRDefault="00F457AD" w:rsidP="00F457AD">
      <w:pPr>
        <w:overflowPunct/>
        <w:autoSpaceDE/>
        <w:autoSpaceDN/>
        <w:adjustRightInd/>
        <w:textAlignment w:val="auto"/>
        <w:rPr>
          <w:rFonts w:ascii="Times New Roman" w:eastAsia="Calibri" w:hAnsi="Times New Roman"/>
          <w:i/>
          <w:color w:val="000000" w:themeColor="text1"/>
          <w:sz w:val="24"/>
          <w:szCs w:val="24"/>
          <w:lang w:val="bg-BG"/>
        </w:rPr>
      </w:pPr>
    </w:p>
    <w:p w:rsidR="00F457AD" w:rsidRPr="00F457AD" w:rsidRDefault="00F457AD" w:rsidP="00F457AD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</w:pPr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  <w:t>От посочените инвестиции през 2022-2023 г. са планирани инвестиции в размер на 1 785 хил. лв. с привлечени средства (заеми) за изпълнение на проекта по ОП „Околна среда 2014-2020“, по която „ВиК-Видин“ ЕООД е бенефициент.</w:t>
      </w:r>
    </w:p>
    <w:p w:rsidR="00F457AD" w:rsidRPr="00F457AD" w:rsidRDefault="00F457AD" w:rsidP="00F457AD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</w:pPr>
    </w:p>
    <w:p w:rsidR="00F457AD" w:rsidRPr="00F457AD" w:rsidRDefault="00F457AD" w:rsidP="00F457AD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</w:pPr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  <w:t xml:space="preserve">Подробна информация за параметрите на одобрения от КЕВР бизнес </w:t>
      </w:r>
      <w:r w:rsidR="004C6B44" w:rsidRPr="004C6B44"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  <w:t>план на „ВиК-Видин“ ЕООД е общо</w:t>
      </w:r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  <w:t xml:space="preserve">достъпна в решение № БП-Ц-18 от 31.08.2022 г., публикувано на интернет страницата на КЕВР: </w:t>
      </w:r>
      <w:hyperlink r:id="rId8" w:history="1">
        <w:r w:rsidRPr="004C6B44">
          <w:rPr>
            <w:rFonts w:ascii="Calibri" w:eastAsia="Calibri" w:hAnsi="Calibri" w:cs="Calibri"/>
            <w:i/>
            <w:color w:val="000000" w:themeColor="text1"/>
            <w:sz w:val="24"/>
            <w:szCs w:val="24"/>
            <w:u w:val="single"/>
            <w:lang w:val="bg-BG"/>
          </w:rPr>
          <w:t>https://www.dker.bg/uploads/reshenia/2022/res_bp_c_18_22.pdf</w:t>
        </w:r>
      </w:hyperlink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  <w:t xml:space="preserve"> </w:t>
      </w:r>
    </w:p>
    <w:p w:rsidR="00F457AD" w:rsidRPr="00F457AD" w:rsidRDefault="00F457AD" w:rsidP="00F457AD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color w:val="1F497D"/>
          <w:sz w:val="24"/>
          <w:szCs w:val="24"/>
          <w:lang w:val="bg-BG"/>
        </w:rPr>
      </w:pPr>
    </w:p>
    <w:p w:rsidR="00F457AD" w:rsidRDefault="00F457AD" w:rsidP="00F457AD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b/>
          <w:color w:val="000000"/>
          <w:sz w:val="24"/>
          <w:szCs w:val="24"/>
          <w:lang w:val="bg-BG"/>
        </w:rPr>
      </w:pPr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- В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какъв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обем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е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изпълнен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бизнес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плана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на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дружеството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,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който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включва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подмяна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на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ВиК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мрежата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?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Например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,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за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сегашния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от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2022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година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досега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колко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са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подменените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тръби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?</w:t>
      </w:r>
    </w:p>
    <w:p w:rsidR="00F457AD" w:rsidRDefault="00F457AD" w:rsidP="00F457AD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b/>
          <w:color w:val="000000"/>
          <w:sz w:val="24"/>
          <w:szCs w:val="24"/>
          <w:lang w:val="bg-BG"/>
        </w:rPr>
      </w:pPr>
    </w:p>
    <w:p w:rsidR="00F457AD" w:rsidRPr="00F457AD" w:rsidRDefault="00E420D9" w:rsidP="00F457AD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E420D9">
        <w:rPr>
          <w:rFonts w:ascii="Calibri" w:eastAsia="Calibri" w:hAnsi="Calibri" w:cs="Calibri"/>
          <w:b/>
          <w:i/>
          <w:color w:val="000000"/>
          <w:sz w:val="24"/>
          <w:szCs w:val="24"/>
          <w:lang w:val="bg-BG"/>
        </w:rPr>
        <w:t xml:space="preserve">Отговор : </w:t>
      </w:r>
      <w:r w:rsidR="00F457AD" w:rsidRPr="00F457AD"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  <w:t xml:space="preserve">През 2023 г. КЕВР извърши проверка на изпълнението на одобрените бизнес планове на ВиК операторите за 2022 г., включително и за „ВиК-Видин“ ЕООД. Докладът от проверката е публикуван на интернет страницата на КЕВР в раздел ВиК/Информационна система: </w:t>
      </w:r>
      <w:hyperlink r:id="rId9" w:history="1">
        <w:r w:rsidR="00F457AD" w:rsidRPr="00F457AD">
          <w:rPr>
            <w:rFonts w:ascii="Calibri" w:eastAsia="Calibri" w:hAnsi="Calibri" w:cs="Calibri"/>
            <w:i/>
            <w:color w:val="000000" w:themeColor="text1"/>
            <w:sz w:val="24"/>
            <w:szCs w:val="24"/>
            <w:u w:val="single"/>
            <w:lang w:val="bg-BG"/>
          </w:rPr>
          <w:t>https://www.dker.bg/uploads/documents/vik/rep_proverki_vik_16112023.pdf</w:t>
        </w:r>
      </w:hyperlink>
      <w:r w:rsidR="00F457AD" w:rsidRPr="00F457AD"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  <w:t>.</w:t>
      </w:r>
    </w:p>
    <w:p w:rsidR="00F457AD" w:rsidRPr="00F457AD" w:rsidRDefault="00F457AD" w:rsidP="00F457AD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</w:pPr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  <w:t xml:space="preserve">Ежегодно КЕВР публикува и годишни доклади за състоянието на ВиК сектора, включващи и индивидуални раздели за дружествата с одобрени бизнес планове. Годишният доклад за 2022 г. публикуван на интернет страницата на КЕВР в раздел ВиК/Информационна система: </w:t>
      </w:r>
      <w:hyperlink r:id="rId10" w:history="1">
        <w:r w:rsidRPr="00F457AD">
          <w:rPr>
            <w:rFonts w:ascii="Calibri" w:eastAsia="Calibri" w:hAnsi="Calibri" w:cs="Calibri"/>
            <w:i/>
            <w:color w:val="000000" w:themeColor="text1"/>
            <w:sz w:val="24"/>
            <w:szCs w:val="24"/>
            <w:u w:val="single"/>
            <w:lang w:val="bg-BG"/>
          </w:rPr>
          <w:t>https://www.dker.bg/uploads/documents/vik/rep_prot_348_16112023.pdf</w:t>
        </w:r>
      </w:hyperlink>
    </w:p>
    <w:p w:rsidR="00F457AD" w:rsidRPr="00F457AD" w:rsidRDefault="00F457AD" w:rsidP="00F457AD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</w:pPr>
    </w:p>
    <w:p w:rsidR="00F457AD" w:rsidRPr="00F457AD" w:rsidRDefault="00F457AD" w:rsidP="00F457AD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</w:pPr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  <w:t>Видно от информацията в доклада, през 2022 г. „ВиК-Видин“ ЕООД не е успяло да изпълни заложените в бизнес плана инвестиции:</w:t>
      </w:r>
    </w:p>
    <w:p w:rsidR="00F457AD" w:rsidRPr="00F457AD" w:rsidRDefault="00F457AD" w:rsidP="004C6B44">
      <w:pPr>
        <w:overflowPunct/>
        <w:autoSpaceDE/>
        <w:autoSpaceDN/>
        <w:adjustRightInd/>
        <w:ind w:firstLine="720"/>
        <w:textAlignment w:val="auto"/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</w:pPr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  <w:t>При заложени инвестиции в публични ВиК активи в размер на 1186 хил. лв. са отчетени 311 хил. лв.</w:t>
      </w:r>
    </w:p>
    <w:p w:rsidR="00F457AD" w:rsidRPr="00F457AD" w:rsidRDefault="00F457AD" w:rsidP="004C6B44">
      <w:pPr>
        <w:overflowPunct/>
        <w:autoSpaceDE/>
        <w:autoSpaceDN/>
        <w:adjustRightInd/>
        <w:ind w:firstLine="720"/>
        <w:textAlignment w:val="auto"/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</w:pPr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  <w:t>При заложени инвестиции в собствени активи в размер на 178 хил. лв. са отчетени 112 хил. лв.</w:t>
      </w:r>
    </w:p>
    <w:p w:rsidR="00F457AD" w:rsidRPr="00F457AD" w:rsidRDefault="00F457AD" w:rsidP="00F457AD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color w:val="1F497D"/>
          <w:sz w:val="24"/>
          <w:szCs w:val="24"/>
          <w:lang w:val="bg-BG"/>
        </w:rPr>
      </w:pPr>
    </w:p>
    <w:p w:rsidR="00F457AD" w:rsidRPr="00F457AD" w:rsidRDefault="00F457AD" w:rsidP="00F457AD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-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Има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ли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сигнали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в КЕВР,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които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касаят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т.нар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. "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общо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потребление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" и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колко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са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годишно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/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свързани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с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разпределянето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на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допълнителни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количества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вода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по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индивидуалните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партиди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,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представляващи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разликата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между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отчета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по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общия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водомер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и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сумата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от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индивидуалната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консумация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/?</w:t>
      </w:r>
    </w:p>
    <w:p w:rsidR="00E420D9" w:rsidRDefault="00E420D9" w:rsidP="00F457AD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</w:pPr>
    </w:p>
    <w:p w:rsidR="00F457AD" w:rsidRPr="00F457AD" w:rsidRDefault="00E420D9" w:rsidP="00F457AD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</w:pPr>
      <w:r w:rsidRPr="00E420D9">
        <w:rPr>
          <w:rFonts w:ascii="Calibri" w:eastAsia="Calibri" w:hAnsi="Calibri" w:cs="Calibri"/>
          <w:b/>
          <w:i/>
          <w:color w:val="000000" w:themeColor="text1"/>
          <w:sz w:val="24"/>
          <w:szCs w:val="24"/>
          <w:lang w:val="bg-BG"/>
        </w:rPr>
        <w:lastRenderedPageBreak/>
        <w:t>Отговор :</w:t>
      </w:r>
      <w:r w:rsidRPr="00E420D9"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  <w:t xml:space="preserve"> </w:t>
      </w:r>
      <w:r w:rsidR="00F457AD" w:rsidRPr="00F457AD"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  <w:t xml:space="preserve"> Немалка част от постъпващите в КЕВР жалби на потребители срещу ВиК оператори са свързани с нуждата от заплащане на т.н. „общо потребление“ – например от общо постъпили 329 жалби през 2022 г., 49 броя са по тази категория. Сходна е ситуацията през 2023 г. – от общо 338 жалби, 50 са свързани с „общо потребление“.</w:t>
      </w:r>
    </w:p>
    <w:p w:rsidR="00F457AD" w:rsidRPr="00F457AD" w:rsidRDefault="00F457AD" w:rsidP="00F457AD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</w:pPr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  <w:t>Част от тези жалби включват принципно несъгласие с начина на определяне на категорията „общо потребление“ и КЕВР ги препраща на компетентният орган – Министерството на регионалното развитие и благоустройството (МРРБ).</w:t>
      </w:r>
    </w:p>
    <w:p w:rsidR="00F457AD" w:rsidRPr="00F457AD" w:rsidRDefault="00F457AD" w:rsidP="00F457AD">
      <w:pPr>
        <w:overflowPunct/>
        <w:autoSpaceDE/>
        <w:autoSpaceDN/>
        <w:adjustRightInd/>
        <w:textAlignment w:val="auto"/>
        <w:rPr>
          <w:rFonts w:ascii="Times New Roman" w:eastAsia="Calibri" w:hAnsi="Times New Roman"/>
          <w:color w:val="000000" w:themeColor="text1"/>
          <w:sz w:val="24"/>
          <w:szCs w:val="24"/>
          <w:lang w:val="bg-BG"/>
        </w:rPr>
      </w:pPr>
    </w:p>
    <w:p w:rsidR="00F457AD" w:rsidRPr="00F457AD" w:rsidRDefault="00F457AD" w:rsidP="00F457AD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-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Какво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предприема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КЕВР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по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тези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сигнали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от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граждани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?</w:t>
      </w:r>
    </w:p>
    <w:p w:rsidR="00F457AD" w:rsidRDefault="00F457AD" w:rsidP="00F457AD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</w:pPr>
    </w:p>
    <w:p w:rsidR="00F457AD" w:rsidRPr="00F457AD" w:rsidRDefault="00E420D9" w:rsidP="00F457AD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</w:pPr>
      <w:r w:rsidRPr="00E420D9">
        <w:rPr>
          <w:rFonts w:ascii="Calibri" w:eastAsia="Calibri" w:hAnsi="Calibri" w:cs="Calibri"/>
          <w:b/>
          <w:i/>
          <w:color w:val="000000" w:themeColor="text1"/>
          <w:sz w:val="24"/>
          <w:szCs w:val="24"/>
          <w:lang w:val="bg-BG"/>
        </w:rPr>
        <w:t>Отговор :</w:t>
      </w:r>
      <w:r w:rsidRPr="00E420D9"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  <w:t xml:space="preserve"> </w:t>
      </w:r>
      <w:r w:rsidR="00F457AD" w:rsidRPr="00F457AD"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  <w:t xml:space="preserve">КЕВР няма компетентност да разглежда жалби по облигационни спорове, т.к. нормативната уредба предвижда </w:t>
      </w:r>
      <w:r w:rsidR="001C6E4B"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  <w:t>такива спорове</w:t>
      </w:r>
      <w:r w:rsidR="00F457AD" w:rsidRPr="00F457AD"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  <w:t xml:space="preserve"> да се разглеждат от съда. КЕВР е компетентен да разглежда жалб</w:t>
      </w:r>
      <w:r w:rsidR="001C6E4B"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  <w:t>,</w:t>
      </w:r>
      <w:r w:rsidR="00F457AD" w:rsidRPr="00F457AD"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  <w:t>и свързани с достъпността и качеството на ВиК услугите и прилаганите от дружествата цени на ВиК услуги.</w:t>
      </w:r>
    </w:p>
    <w:p w:rsidR="00F457AD" w:rsidRPr="00F457AD" w:rsidRDefault="00F457AD" w:rsidP="00F457AD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</w:pPr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  <w:t>В т</w:t>
      </w:r>
      <w:r w:rsidR="001C6E4B"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  <w:t>ази връзка КЕВР няма нормативно правомощие</w:t>
      </w:r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  <w:t xml:space="preserve"> да вземе отношение по жалбите на потребителите</w:t>
      </w:r>
      <w:r w:rsidR="001C6E4B"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  <w:t>,</w:t>
      </w:r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  <w:t xml:space="preserve"> свързани с несъгласие за заплащане на разход „общо потребление“. Все пак трябва да отбележим, че при всяка една постъпила жалба КЕВР изисква съответното дружество да представи свое становище по жалбата, при което в немалък брой случаи ВиК операторите, ако са допуснали грешка в начислените задължения, извършват корекция. От своя страна КЕВР приема решения за прекратяване на производството поради липса на компетентност, </w:t>
      </w:r>
      <w:r w:rsidR="001C6E4B"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  <w:t>като</w:t>
      </w:r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  <w:t xml:space="preserve"> подробно посочва действащите нормативни изисквания</w:t>
      </w:r>
      <w:r w:rsidR="001C6E4B"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  <w:t>,</w:t>
      </w:r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  <w:t xml:space="preserve"> приложими за съответния казус. Тези решения могат да са полезни на потребителите в случай, че решат да оспорят по съдебен път издадените от дружествата сметки за потребени ВиК услуги.</w:t>
      </w:r>
    </w:p>
    <w:p w:rsidR="00F457AD" w:rsidRPr="00F457AD" w:rsidRDefault="00F457AD" w:rsidP="00F457AD">
      <w:pPr>
        <w:overflowPunct/>
        <w:autoSpaceDE/>
        <w:autoSpaceDN/>
        <w:adjustRightInd/>
        <w:textAlignment w:val="auto"/>
        <w:rPr>
          <w:rFonts w:ascii="Times New Roman" w:eastAsia="Calibri" w:hAnsi="Times New Roman"/>
          <w:color w:val="1F497D"/>
          <w:sz w:val="24"/>
          <w:szCs w:val="24"/>
          <w:lang w:val="bg-BG"/>
        </w:rPr>
      </w:pPr>
    </w:p>
    <w:p w:rsidR="00F457AD" w:rsidRPr="00F457AD" w:rsidRDefault="00F457AD" w:rsidP="00F457AD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b/>
          <w:sz w:val="24"/>
          <w:szCs w:val="24"/>
        </w:rPr>
      </w:pPr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-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Във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връзка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с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наредбата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,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по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която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се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отчитат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и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плащат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ВиК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услугите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, КЕВР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вижда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ли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необходимост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да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се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направят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промени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,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които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да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касаят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справедливото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измерване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,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отчитане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и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плащане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на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изразходената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вода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в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сгради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етажна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собственост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>?</w:t>
      </w:r>
    </w:p>
    <w:p w:rsidR="00F457AD" w:rsidRDefault="00F457AD" w:rsidP="00F457AD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</w:pPr>
    </w:p>
    <w:p w:rsidR="00F457AD" w:rsidRPr="00F457AD" w:rsidRDefault="001C6E4B" w:rsidP="00F457AD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</w:pPr>
      <w:r w:rsidRPr="001C6E4B">
        <w:rPr>
          <w:rFonts w:ascii="Calibri" w:eastAsia="Calibri" w:hAnsi="Calibri" w:cs="Calibri"/>
          <w:b/>
          <w:i/>
          <w:color w:val="000000" w:themeColor="text1"/>
          <w:sz w:val="24"/>
          <w:szCs w:val="24"/>
          <w:lang w:val="bg-BG"/>
        </w:rPr>
        <w:t>Отговор :</w:t>
      </w:r>
      <w:r w:rsidRPr="001C6E4B"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  <w:t xml:space="preserve"> </w:t>
      </w:r>
      <w:r w:rsidR="00F457AD" w:rsidRPr="00F457AD"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  <w:t>Редът за отчитане, фактуриране и заплащане на ВиК услугите се определя в Наредба № 4 от 14.09.2004 г. за условията и реда за присъединяване на потребителите и за ползване на водоснабдителните и канализационните системи, която се приема от министъра на регионалното развитие и благоустройството (Наредба № 4/2004 г.). Единствено МРРБ има компетентност да измени условията на наредбата. Темата за начина на формиране на разход „общо потребление“ е извън регулаторните функции на КЕВР.</w:t>
      </w:r>
    </w:p>
    <w:p w:rsidR="00F457AD" w:rsidRPr="00F457AD" w:rsidRDefault="00F457AD" w:rsidP="00F457AD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</w:pPr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  <w:t>Все пак трябва да отбележим, че ВиК операторите поддържат системата до водомера на сградното отклонение, след който инсталациите са собственост на потребителите, и в тази връзка дружеството следва да получи заплащане за всички водни количества, които е доставило в сградата. Независимо какъв режим за разпределянето на водните количества в сграда в режим на етажна собственост бъде възприет, потребителите винаги ще трябва да заплащат и частта, която е подадена в сградата, но не е отчетена от индивидуалните водомери.</w:t>
      </w:r>
    </w:p>
    <w:p w:rsidR="00F457AD" w:rsidRPr="00F457AD" w:rsidRDefault="00F457AD" w:rsidP="00F457AD">
      <w:pPr>
        <w:overflowPunct/>
        <w:autoSpaceDE/>
        <w:autoSpaceDN/>
        <w:adjustRightInd/>
        <w:textAlignment w:val="auto"/>
        <w:rPr>
          <w:rFonts w:ascii="Times New Roman" w:eastAsia="Calibri" w:hAnsi="Times New Roman"/>
          <w:color w:val="1F497D"/>
          <w:sz w:val="24"/>
          <w:szCs w:val="24"/>
          <w:lang w:val="bg-BG"/>
        </w:rPr>
      </w:pPr>
    </w:p>
    <w:p w:rsidR="00F457AD" w:rsidRPr="00F457AD" w:rsidRDefault="00F457AD" w:rsidP="00F457AD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b/>
          <w:sz w:val="24"/>
          <w:szCs w:val="24"/>
        </w:rPr>
      </w:pPr>
      <w:r w:rsidRPr="00F457AD">
        <w:rPr>
          <w:rFonts w:ascii="Calibri" w:eastAsia="Calibri" w:hAnsi="Calibri" w:cs="Calibri"/>
          <w:b/>
          <w:sz w:val="24"/>
          <w:szCs w:val="24"/>
        </w:rPr>
        <w:t xml:space="preserve">-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Ще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предложи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ли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gramStart"/>
      <w:r w:rsidRPr="00F457AD">
        <w:rPr>
          <w:rFonts w:ascii="Calibri" w:eastAsia="Calibri" w:hAnsi="Calibri" w:cs="Calibri"/>
          <w:b/>
          <w:sz w:val="24"/>
          <w:szCs w:val="24"/>
        </w:rPr>
        <w:t>КЕВР ,</w:t>
      </w:r>
      <w:proofErr w:type="gramEnd"/>
      <w:r w:rsidRPr="00F457AD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при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обществено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обсъждане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на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новия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Закон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за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водоснабдяването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и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канализацията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,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промени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в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наредбата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,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които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да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гарантират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коректно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и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справедливо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отчитане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и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плащане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на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водата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от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потребители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в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сгради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етажна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собственост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>?</w:t>
      </w:r>
    </w:p>
    <w:p w:rsidR="00F457AD" w:rsidRDefault="00F457AD" w:rsidP="00F457AD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</w:pPr>
    </w:p>
    <w:p w:rsidR="00F457AD" w:rsidRPr="00F457AD" w:rsidRDefault="00E420D9" w:rsidP="00F457AD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</w:pPr>
      <w:r w:rsidRPr="00E420D9">
        <w:rPr>
          <w:rFonts w:ascii="Calibri" w:eastAsia="Calibri" w:hAnsi="Calibri" w:cs="Calibri"/>
          <w:b/>
          <w:i/>
          <w:color w:val="000000" w:themeColor="text1"/>
          <w:sz w:val="24"/>
          <w:szCs w:val="24"/>
          <w:lang w:val="bg-BG"/>
        </w:rPr>
        <w:t>Отговор :</w:t>
      </w:r>
      <w:r w:rsidRPr="00E420D9"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  <w:t xml:space="preserve"> </w:t>
      </w:r>
      <w:r w:rsidR="00F457AD" w:rsidRPr="00F457AD"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  <w:t xml:space="preserve">До момента </w:t>
      </w:r>
      <w:r w:rsidR="00AB30CD"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  <w:t>бяха проведени три</w:t>
      </w:r>
      <w:r w:rsidR="00F457AD" w:rsidRPr="00F457AD"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  <w:t xml:space="preserve"> обществени обсъждания на проекта на новия Закон за водоснабдяване и канализация – през 2020 г., през 2022 г. и през 2023 г. Всички проекти са подготвени без координация и </w:t>
      </w:r>
      <w:r w:rsidR="00AB30CD"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  <w:t xml:space="preserve">без </w:t>
      </w:r>
      <w:r w:rsidR="00F457AD" w:rsidRPr="00F457AD"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  <w:t>съгласуване с К</w:t>
      </w:r>
      <w:r w:rsidR="00AB30CD"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  <w:t>ЕВР. Комисията</w:t>
      </w:r>
      <w:r w:rsidR="00F457AD" w:rsidRPr="00F457AD"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  <w:t>, както и останалите заинтересовани лица</w:t>
      </w:r>
      <w:r w:rsidR="00AB30CD"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  <w:t>,</w:t>
      </w:r>
      <w:r w:rsidR="00F457AD" w:rsidRPr="00F457AD"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  <w:t xml:space="preserve"> </w:t>
      </w:r>
      <w:r w:rsidR="00AB30CD"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  <w:t>е запозната</w:t>
      </w:r>
      <w:r w:rsidR="00F457AD" w:rsidRPr="00F457AD"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  <w:t xml:space="preserve"> </w:t>
      </w:r>
      <w:r w:rsidR="00AB30CD"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  <w:t xml:space="preserve">единствено с </w:t>
      </w:r>
      <w:r w:rsidR="00F457AD" w:rsidRPr="00F457AD"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  <w:t xml:space="preserve">крайните проекти, </w:t>
      </w:r>
      <w:r w:rsidR="00AB30CD"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  <w:t>като е</w:t>
      </w:r>
      <w:r w:rsidR="00F457AD" w:rsidRPr="00F457AD"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  <w:t xml:space="preserve"> приела становища по всеки един от тях</w:t>
      </w:r>
      <w:r w:rsidR="00AB30CD"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  <w:t xml:space="preserve"> и е посочила</w:t>
      </w:r>
      <w:r w:rsidR="00F457AD" w:rsidRPr="00F457AD"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  <w:t xml:space="preserve"> аргументи срещу много от предложените промени. Нашите становища са публично достъпни на интернет страницата на КЕВР в раздел ВиК/Информационна система:</w:t>
      </w:r>
    </w:p>
    <w:p w:rsidR="00F457AD" w:rsidRPr="00F457AD" w:rsidRDefault="00F457AD" w:rsidP="00F457AD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</w:pPr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  <w:t xml:space="preserve">Становището от 2022 г.: </w:t>
      </w:r>
      <w:hyperlink r:id="rId11" w:history="1">
        <w:r w:rsidRPr="00F457AD">
          <w:rPr>
            <w:rFonts w:ascii="Calibri" w:eastAsia="Calibri" w:hAnsi="Calibri" w:cs="Calibri"/>
            <w:i/>
            <w:color w:val="000000" w:themeColor="text1"/>
            <w:sz w:val="24"/>
            <w:szCs w:val="24"/>
            <w:u w:val="single"/>
            <w:lang w:val="bg-BG"/>
          </w:rPr>
          <w:t>https://www.dker.bg/uploads/documents/vik/Stanovishte_ZVIK_Prot_%20350_14122022.pdf</w:t>
        </w:r>
      </w:hyperlink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  <w:t xml:space="preserve"> </w:t>
      </w:r>
    </w:p>
    <w:p w:rsidR="00F457AD" w:rsidRPr="00F457AD" w:rsidRDefault="00F457AD" w:rsidP="00F457AD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</w:pPr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  <w:t xml:space="preserve">Становището от 2023 г.: </w:t>
      </w:r>
      <w:hyperlink r:id="rId12" w:history="1">
        <w:r w:rsidRPr="00F457AD">
          <w:rPr>
            <w:rFonts w:ascii="Calibri" w:eastAsia="Calibri" w:hAnsi="Calibri" w:cs="Calibri"/>
            <w:i/>
            <w:color w:val="000000" w:themeColor="text1"/>
            <w:sz w:val="24"/>
            <w:szCs w:val="24"/>
            <w:u w:val="single"/>
            <w:lang w:val="bg-BG"/>
          </w:rPr>
          <w:t>https://www.dker.bg/uploads/documents/vik/Stanovishte_KEVR_Prot_152_10052023.pdf</w:t>
        </w:r>
      </w:hyperlink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  <w:t xml:space="preserve"> </w:t>
      </w:r>
    </w:p>
    <w:p w:rsidR="00F457AD" w:rsidRPr="00F457AD" w:rsidRDefault="00F457AD" w:rsidP="00F457AD">
      <w:pPr>
        <w:overflowPunct/>
        <w:autoSpaceDE/>
        <w:autoSpaceDN/>
        <w:adjustRightInd/>
        <w:textAlignment w:val="auto"/>
        <w:rPr>
          <w:rFonts w:ascii="Times New Roman" w:eastAsia="Calibri" w:hAnsi="Times New Roman"/>
          <w:color w:val="1F497D"/>
          <w:sz w:val="24"/>
          <w:szCs w:val="24"/>
          <w:lang w:val="bg-BG"/>
        </w:rPr>
      </w:pPr>
    </w:p>
    <w:p w:rsidR="00F457AD" w:rsidRDefault="00F457AD" w:rsidP="00F457AD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b/>
          <w:sz w:val="24"/>
          <w:szCs w:val="24"/>
        </w:rPr>
      </w:pPr>
      <w:r w:rsidRPr="00F457AD">
        <w:rPr>
          <w:rFonts w:ascii="Calibri" w:eastAsia="Calibri" w:hAnsi="Calibri" w:cs="Calibri"/>
          <w:b/>
          <w:sz w:val="24"/>
          <w:szCs w:val="24"/>
        </w:rPr>
        <w:t xml:space="preserve">-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Защо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не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беше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приета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новата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Наредба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за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условията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и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реда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за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присъединяване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на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потребителите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и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за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ползване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на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водоснабдителните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и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канализационните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системи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,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публикувана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за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обществено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обсъждане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през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2018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година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и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която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трябваше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да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доведе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до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справедлив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начин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за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измерване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,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отчитане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и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плащане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на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ВиК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услугите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>?</w:t>
      </w:r>
    </w:p>
    <w:p w:rsidR="00F457AD" w:rsidRPr="00F457AD" w:rsidRDefault="00F457AD" w:rsidP="00F457AD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b/>
          <w:sz w:val="24"/>
          <w:szCs w:val="24"/>
        </w:rPr>
      </w:pPr>
    </w:p>
    <w:p w:rsidR="00F457AD" w:rsidRPr="00F457AD" w:rsidRDefault="00E420D9" w:rsidP="00F457AD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</w:pPr>
      <w:r w:rsidRPr="00E420D9">
        <w:rPr>
          <w:rFonts w:ascii="Calibri" w:eastAsia="Calibri" w:hAnsi="Calibri" w:cs="Calibri"/>
          <w:b/>
          <w:i/>
          <w:color w:val="000000" w:themeColor="text1"/>
          <w:sz w:val="24"/>
          <w:szCs w:val="24"/>
          <w:lang w:val="bg-BG"/>
        </w:rPr>
        <w:t>Отговор :</w:t>
      </w:r>
      <w:r w:rsidRPr="00E420D9"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  <w:t xml:space="preserve"> </w:t>
      </w:r>
      <w:r w:rsidR="00AB30CD"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  <w:t xml:space="preserve"> </w:t>
      </w:r>
      <w:r w:rsidR="00F457AD" w:rsidRPr="00F457AD"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  <w:t xml:space="preserve">През 2018 г. по инициатива на МРРБ беше сформирана работна група за изменение на Наредба №4/2004 г., в която бяха включени представители на КЕВР. Ние участвахме в над 20 работни срещи по подготовката на новата наредба. На 22.09.2018 г. МРРБ официално публикува за обществено обсъждане проект на нова наредба, по който КЕВР на 23.10.2018 г. прие становище. </w:t>
      </w:r>
    </w:p>
    <w:p w:rsidR="00F457AD" w:rsidRPr="00F457AD" w:rsidRDefault="00F457AD" w:rsidP="00F457AD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</w:pPr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  <w:t>В КЕВР не постъпи последваща информация защо Наре</w:t>
      </w:r>
      <w:r w:rsidR="00AB30CD"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  <w:t>дба №4/2004 г. не беше изменена. Т</w:t>
      </w:r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  <w:t>ози въпрос трябва да бъде отнесен към компетентният орган – МРРБ.</w:t>
      </w:r>
    </w:p>
    <w:p w:rsidR="00F457AD" w:rsidRPr="00F457AD" w:rsidRDefault="00F457AD" w:rsidP="00F457AD">
      <w:pPr>
        <w:overflowPunct/>
        <w:autoSpaceDE/>
        <w:autoSpaceDN/>
        <w:adjustRightInd/>
        <w:textAlignment w:val="auto"/>
        <w:rPr>
          <w:rFonts w:ascii="Times New Roman" w:eastAsia="Calibri" w:hAnsi="Times New Roman"/>
          <w:color w:val="1F497D"/>
          <w:sz w:val="24"/>
          <w:szCs w:val="24"/>
          <w:lang w:val="bg-BG"/>
        </w:rPr>
      </w:pPr>
    </w:p>
    <w:p w:rsidR="00F457AD" w:rsidRPr="00F457AD" w:rsidRDefault="00F457AD" w:rsidP="00F457AD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b/>
          <w:sz w:val="24"/>
          <w:szCs w:val="24"/>
        </w:rPr>
      </w:pPr>
      <w:r w:rsidRPr="00F457AD">
        <w:rPr>
          <w:rFonts w:ascii="Calibri" w:eastAsia="Calibri" w:hAnsi="Calibri" w:cs="Calibri"/>
          <w:b/>
          <w:sz w:val="24"/>
          <w:szCs w:val="24"/>
        </w:rPr>
        <w:t xml:space="preserve">-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Има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ли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ВиК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разследващи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функции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,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за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да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може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да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установи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факти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при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жалби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на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потребители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и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ако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няма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кой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има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такива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функции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,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тъй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като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е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ясно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,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че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абонатите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sz w:val="24"/>
          <w:szCs w:val="24"/>
        </w:rPr>
        <w:t>нямат</w:t>
      </w:r>
      <w:proofErr w:type="spellEnd"/>
      <w:r w:rsidRPr="00F457AD">
        <w:rPr>
          <w:rFonts w:ascii="Calibri" w:eastAsia="Calibri" w:hAnsi="Calibri" w:cs="Calibri"/>
          <w:b/>
          <w:sz w:val="24"/>
          <w:szCs w:val="24"/>
        </w:rPr>
        <w:t>?</w:t>
      </w:r>
    </w:p>
    <w:p w:rsidR="00F457AD" w:rsidRDefault="00F457AD" w:rsidP="00F457AD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</w:pPr>
    </w:p>
    <w:p w:rsidR="00F457AD" w:rsidRPr="00E420D9" w:rsidRDefault="00E420D9" w:rsidP="00E420D9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</w:pPr>
      <w:r w:rsidRPr="00E420D9">
        <w:rPr>
          <w:rFonts w:ascii="Calibri" w:eastAsia="Calibri" w:hAnsi="Calibri" w:cs="Calibri"/>
          <w:b/>
          <w:i/>
          <w:color w:val="000000" w:themeColor="text1"/>
          <w:sz w:val="24"/>
          <w:szCs w:val="24"/>
          <w:lang w:val="bg-BG"/>
        </w:rPr>
        <w:t>Отговор :</w:t>
      </w:r>
      <w:r w:rsidRPr="00E420D9"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  <w:t xml:space="preserve"> </w:t>
      </w:r>
      <w:r w:rsidR="00F457AD" w:rsidRPr="00E420D9"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  <w:t>ВиК дружествата нямат разследващи функции.</w:t>
      </w:r>
    </w:p>
    <w:p w:rsidR="00F457AD" w:rsidRPr="00F457AD" w:rsidRDefault="00F457AD" w:rsidP="00F457AD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i/>
          <w:color w:val="000000" w:themeColor="text1"/>
          <w:sz w:val="24"/>
          <w:szCs w:val="24"/>
        </w:rPr>
      </w:pP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Съгласно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чл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. 32,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ал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. 5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от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Наредба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№ 4/2004 г.: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при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разлика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в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отчетеното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количество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вода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по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общия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водомер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и в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сбора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на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отчетите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по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индивидуалните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водомери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,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по-голяма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от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20% в 7-дневен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срок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ВиК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операторът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уведомява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упълномощения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представител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на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етажната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собственост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.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При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подаване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на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молба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от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упълномощения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представител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на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етажната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собственост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в 10-дневен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срок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от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уведомяването</w:t>
      </w:r>
      <w:proofErr w:type="spellEnd"/>
      <w:r w:rsidR="00AB30CD"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  <w:t>, с цел</w:t>
      </w:r>
      <w:r w:rsidR="00AB30C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установяване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на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причините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операторът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определя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комисия</w:t>
      </w:r>
      <w:proofErr w:type="spellEnd"/>
      <w:r w:rsidR="00AB30CD"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  <w:t>. В тази комисия</w:t>
      </w:r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се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включват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молителят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и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представители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на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оператора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, а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съгласно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ал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. 6 в 14-дневен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срок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комисията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съставя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протокол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, в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който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отразява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установените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причини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и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предложенията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за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тяхното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отстраняване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.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Когато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установените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причини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се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дължат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на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неизправност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в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сградната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инсталация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,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те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се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отстраняват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от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потребителите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в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етажната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собственост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,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които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заплащат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разходите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за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извършената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проверка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.</w:t>
      </w:r>
    </w:p>
    <w:p w:rsidR="00F457AD" w:rsidRPr="00F457AD" w:rsidRDefault="00F457AD" w:rsidP="00F457AD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color w:val="1F497D"/>
          <w:sz w:val="24"/>
          <w:szCs w:val="24"/>
        </w:rPr>
      </w:pPr>
    </w:p>
    <w:p w:rsidR="00F457AD" w:rsidRDefault="00F457AD" w:rsidP="00F457AD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-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Възможно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ли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е в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наредбата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да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бъдат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вписани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текстове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,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които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да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стимулират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недобросъвестните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абонати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в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жилищните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блокове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да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осигурят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достъп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за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отчитане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на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индивидуалните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им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водомери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?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Т.е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.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вместо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добросъвестните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да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плащат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разпределение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като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разлика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,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останала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след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като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други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не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са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отворили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жилищата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си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и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не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са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отчетени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,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на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некоректните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да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бъдат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начислявани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суми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по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-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големи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от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реалното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им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потребление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?</w:t>
      </w:r>
    </w:p>
    <w:p w:rsidR="00F457AD" w:rsidRPr="00F457AD" w:rsidRDefault="00F457AD" w:rsidP="00F457AD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F457AD" w:rsidRPr="00F457AD" w:rsidRDefault="00E420D9" w:rsidP="00F457AD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i/>
          <w:color w:val="000000" w:themeColor="text1"/>
          <w:sz w:val="24"/>
          <w:szCs w:val="24"/>
        </w:rPr>
      </w:pPr>
      <w:r w:rsidRPr="00E420D9">
        <w:rPr>
          <w:rFonts w:ascii="Calibri" w:eastAsia="Calibri" w:hAnsi="Calibri" w:cs="Calibri"/>
          <w:b/>
          <w:i/>
          <w:color w:val="000000" w:themeColor="text1"/>
          <w:sz w:val="24"/>
          <w:szCs w:val="24"/>
          <w:lang w:val="bg-BG"/>
        </w:rPr>
        <w:t>Отговор :</w:t>
      </w:r>
      <w:r w:rsidRPr="00E420D9"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  <w:t xml:space="preserve"> </w:t>
      </w:r>
      <w:r w:rsidR="00F457AD"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  <w:t xml:space="preserve">- </w:t>
      </w:r>
      <w:r w:rsidR="00F457AD"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В </w:t>
      </w:r>
      <w:proofErr w:type="spellStart"/>
      <w:r w:rsidR="00F457AD"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Наредба</w:t>
      </w:r>
      <w:proofErr w:type="spellEnd"/>
      <w:r w:rsidR="00F457AD"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№ 4/2004 г. </w:t>
      </w:r>
      <w:proofErr w:type="spellStart"/>
      <w:r w:rsidR="00F457AD"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са</w:t>
      </w:r>
      <w:proofErr w:type="spellEnd"/>
      <w:r w:rsidR="00F457AD"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="00F457AD"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предвидени</w:t>
      </w:r>
      <w:proofErr w:type="spellEnd"/>
      <w:r w:rsidR="00F457AD"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="00F457AD"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такива</w:t>
      </w:r>
      <w:proofErr w:type="spellEnd"/>
      <w:r w:rsidR="00F457AD"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="00F457AD"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разпоредби</w:t>
      </w:r>
      <w:proofErr w:type="spellEnd"/>
      <w:r w:rsidR="00AB30CD"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  <w:t>,</w:t>
      </w:r>
      <w:r w:rsidR="00F457AD"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="00F457AD"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но</w:t>
      </w:r>
      <w:proofErr w:type="spellEnd"/>
      <w:r w:rsidR="00F457AD"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r w:rsidR="00AB30CD"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  <w:t xml:space="preserve">те </w:t>
      </w:r>
      <w:proofErr w:type="spellStart"/>
      <w:r w:rsidR="00F457AD"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следва</w:t>
      </w:r>
      <w:proofErr w:type="spellEnd"/>
      <w:r w:rsidR="00F457AD"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="00F457AD"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да</w:t>
      </w:r>
      <w:proofErr w:type="spellEnd"/>
      <w:r w:rsidR="00F457AD"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="00F457AD"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бъдат</w:t>
      </w:r>
      <w:proofErr w:type="spellEnd"/>
      <w:r w:rsidR="00F457AD"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="00F457AD"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спазвани</w:t>
      </w:r>
      <w:proofErr w:type="spellEnd"/>
      <w:r w:rsidR="00F457AD"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="00F457AD"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от</w:t>
      </w:r>
      <w:proofErr w:type="spellEnd"/>
      <w:r w:rsidR="00F457AD"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="00F457AD"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ВиК</w:t>
      </w:r>
      <w:proofErr w:type="spellEnd"/>
      <w:r w:rsidR="00F457AD"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="00F457AD"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операторите</w:t>
      </w:r>
      <w:proofErr w:type="spellEnd"/>
      <w:r w:rsidR="00F457AD"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, а </w:t>
      </w:r>
      <w:proofErr w:type="spellStart"/>
      <w:r w:rsidR="00F457AD"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именно</w:t>
      </w:r>
      <w:proofErr w:type="spellEnd"/>
      <w:r w:rsidR="00F457AD"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:</w:t>
      </w:r>
    </w:p>
    <w:p w:rsidR="00F457AD" w:rsidRPr="00F457AD" w:rsidRDefault="00F457AD" w:rsidP="00F457AD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i/>
          <w:color w:val="000000" w:themeColor="text1"/>
          <w:sz w:val="24"/>
          <w:szCs w:val="24"/>
        </w:rPr>
      </w:pPr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-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при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отказ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на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потребителя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да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осигури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достъп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на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длъжностното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лице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на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оператора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за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отчитане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на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показанията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на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водомера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длъжностното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лице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съставя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протокол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(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чл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. 35,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ал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. 5),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въз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основа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на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който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разходът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на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вода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се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изчислява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по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пропускателната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способност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на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водопроводната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инсталация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,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непосредствено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преди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водомера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при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непрекъснато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изтичане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на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водата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със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скорост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1,0 м/с,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за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периода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до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предишен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отчет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(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чл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. 35,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ал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. 6),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като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в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сгради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в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режим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на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ЕС,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количествата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се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намаляват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пропорционално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до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изравняване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с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отчетеното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количество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по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общия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водомер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(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чл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. 39,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ал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. 4, т. 6).</w:t>
      </w:r>
    </w:p>
    <w:p w:rsidR="00F457AD" w:rsidRPr="00F457AD" w:rsidRDefault="00F457AD" w:rsidP="00F457AD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i/>
          <w:color w:val="000000" w:themeColor="text1"/>
          <w:sz w:val="24"/>
          <w:szCs w:val="24"/>
        </w:rPr>
      </w:pPr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-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при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формиране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на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водопотреблението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за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потребителите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в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етажната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собственост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с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липсващи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или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неизправни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индивидуални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водомери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да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завишават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количеството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вода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всяко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тримесечие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с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по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1,0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куб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. м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за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всеки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обитател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,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съгласно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разпоредбата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на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чл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. 39,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ал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. 6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от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Наредба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4/2004 г.;</w:t>
      </w:r>
    </w:p>
    <w:p w:rsidR="00F457AD" w:rsidRPr="00F457AD" w:rsidRDefault="00F457AD" w:rsidP="00F457AD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i/>
          <w:color w:val="000000" w:themeColor="text1"/>
          <w:sz w:val="24"/>
          <w:szCs w:val="24"/>
        </w:rPr>
      </w:pPr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-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да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прилагат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разпоредбата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на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чл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. 34а,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ал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. 5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от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Наредба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№ 4/2004 г.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при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установяване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на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изтекъл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срок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за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последваща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проверка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на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индивидуалните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измервателни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уреди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;</w:t>
      </w:r>
    </w:p>
    <w:p w:rsidR="00F457AD" w:rsidRPr="00F457AD" w:rsidRDefault="00F457AD" w:rsidP="00F457AD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i/>
          <w:color w:val="000000" w:themeColor="text1"/>
          <w:sz w:val="24"/>
          <w:szCs w:val="24"/>
        </w:rPr>
      </w:pPr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-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да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прилагат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разпоредбата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на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чл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. 40,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ал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. 1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от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Общите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условия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,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съгласно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която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при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подадено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мотивирано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писмено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заявление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от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страна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на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потребителя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,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ВиК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операторът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временно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преустановява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доставката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на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питейна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вода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чрез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пломбиране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на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спирателния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кран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преди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водомера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за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периода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,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посочен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в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заявлението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,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като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в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този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случай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се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записват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показанията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на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измервателните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уреди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при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подаване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на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заявление</w:t>
      </w:r>
      <w:proofErr w:type="spellEnd"/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</w:rPr>
        <w:t>.</w:t>
      </w:r>
    </w:p>
    <w:p w:rsidR="00F457AD" w:rsidRPr="00F457AD" w:rsidRDefault="00F457AD" w:rsidP="00F457AD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color w:val="1F497D"/>
          <w:sz w:val="24"/>
          <w:szCs w:val="24"/>
        </w:rPr>
      </w:pPr>
    </w:p>
    <w:p w:rsidR="00F457AD" w:rsidRDefault="00F457AD" w:rsidP="00F457AD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-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Защо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се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допуска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отчитането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на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електромери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и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водомери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да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става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по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различен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начин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?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Никой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не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плаща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за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изразходен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ток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на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съсед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, а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плаща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само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толкова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,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колкото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са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данните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на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електромера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за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месеца</w:t>
      </w:r>
      <w:proofErr w:type="spellEnd"/>
      <w:r w:rsidRPr="00F457AD">
        <w:rPr>
          <w:rFonts w:ascii="Calibri" w:eastAsia="Calibri" w:hAnsi="Calibri" w:cs="Calibri"/>
          <w:b/>
          <w:color w:val="000000"/>
          <w:sz w:val="24"/>
          <w:szCs w:val="24"/>
        </w:rPr>
        <w:t>.</w:t>
      </w:r>
    </w:p>
    <w:p w:rsidR="00F457AD" w:rsidRPr="00F457AD" w:rsidRDefault="00F457AD" w:rsidP="00F457AD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F457AD" w:rsidRPr="00F457AD" w:rsidRDefault="00E420D9" w:rsidP="00F457AD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</w:pPr>
      <w:r w:rsidRPr="00E420D9">
        <w:rPr>
          <w:rFonts w:ascii="Calibri" w:eastAsia="Calibri" w:hAnsi="Calibri" w:cs="Calibri"/>
          <w:b/>
          <w:i/>
          <w:color w:val="000000" w:themeColor="text1"/>
          <w:sz w:val="24"/>
          <w:szCs w:val="24"/>
          <w:lang w:val="bg-BG"/>
        </w:rPr>
        <w:t>Отговор :</w:t>
      </w:r>
      <w:r w:rsidRPr="00E420D9"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  <w:t xml:space="preserve"> </w:t>
      </w:r>
      <w:r w:rsidR="00AB30CD"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  <w:t>Както</w:t>
      </w:r>
      <w:r w:rsidR="00F457AD" w:rsidRPr="00F457AD"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  <w:t xml:space="preserve"> е известно, в сградите в режим на етажна собственост няма „централен електромер“, чийто показания да се разпределят въз основа на индивидуалното потребление на всеки апартамент. Всеки имот в сградата има собствен електромер, който се отчита от електроразпределителното дружество, съответно няма „обща консумация“ която да се разпределя.</w:t>
      </w:r>
    </w:p>
    <w:p w:rsidR="00F457AD" w:rsidRPr="00F457AD" w:rsidRDefault="00F457AD" w:rsidP="00F457AD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</w:pPr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  <w:t xml:space="preserve">В случая с доставяната вода ситуацията е различна – всяка сграда има сградно водопроводното отклонение, на което се монтира общия водомер. След този водомер имаме сградна инсталация, собственост на потребителите. Във всеки обособен имот в сградата има монтирани индивидуални водомери, които са ангажимент на потребителите. </w:t>
      </w:r>
    </w:p>
    <w:p w:rsidR="00F457AD" w:rsidRPr="00F457AD" w:rsidRDefault="00F457AD" w:rsidP="00F457AD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</w:pPr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  <w:t>ВиК операторът отчита както общия,</w:t>
      </w:r>
      <w:r w:rsidR="00AB30CD"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  <w:t xml:space="preserve"> така и индивидуалните водомери</w:t>
      </w:r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  <w:t xml:space="preserve"> и разпределя подадените водни количества в сградата</w:t>
      </w:r>
      <w:r w:rsidR="00BF4372"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  <w:t>,</w:t>
      </w:r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  <w:t xml:space="preserve"> съгласно нормативните правила.</w:t>
      </w:r>
    </w:p>
    <w:p w:rsidR="00F457AD" w:rsidRPr="00F457AD" w:rsidRDefault="00F457AD" w:rsidP="00F457AD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</w:pPr>
    </w:p>
    <w:p w:rsidR="00F457AD" w:rsidRPr="00F457AD" w:rsidRDefault="00BF4372" w:rsidP="00F457AD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</w:pPr>
      <w:r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  <w:t>Във връзка с многобройнте</w:t>
      </w:r>
      <w:r w:rsidR="00F457AD" w:rsidRPr="00F457AD"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  <w:t xml:space="preserve"> зададени въпроси за начина на отчитане и фактуриране на ВиК услугите посочвам</w:t>
      </w:r>
      <w:r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  <w:t>е</w:t>
      </w:r>
      <w:r w:rsidR="00F457AD" w:rsidRPr="00F457AD"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  <w:t>, че на интернет страницата на КЕВР има обособена рублика „Често задавани въпроси“ за всички регулирани сектори.</w:t>
      </w:r>
    </w:p>
    <w:p w:rsidR="00BF4372" w:rsidRDefault="00F457AD" w:rsidP="00BF4372">
      <w:pPr>
        <w:overflowPunct/>
        <w:autoSpaceDE/>
        <w:autoSpaceDN/>
        <w:adjustRightInd/>
        <w:textAlignment w:val="auto"/>
        <w:rPr>
          <w:rFonts w:asciiTheme="minorHAnsi" w:eastAsia="Calibri" w:hAnsiTheme="minorHAnsi" w:cstheme="minorHAnsi"/>
          <w:bCs/>
          <w:color w:val="000000" w:themeColor="text1"/>
          <w:sz w:val="24"/>
          <w:szCs w:val="24"/>
          <w:lang w:val="bg-BG"/>
        </w:rPr>
      </w:pPr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  <w:t xml:space="preserve">В раздела за ВиК е посочена подробна и важна информация за всички потребители на ВиК услуги по най-често задаваните въпроси: </w:t>
      </w:r>
      <w:hyperlink r:id="rId13" w:history="1">
        <w:r w:rsidRPr="00F457AD">
          <w:rPr>
            <w:rFonts w:ascii="Calibri" w:eastAsia="Calibri" w:hAnsi="Calibri" w:cs="Calibri"/>
            <w:i/>
            <w:color w:val="000000" w:themeColor="text1"/>
            <w:sz w:val="24"/>
            <w:szCs w:val="24"/>
            <w:u w:val="single"/>
            <w:lang w:val="bg-BG"/>
          </w:rPr>
          <w:t>https://www.dker.bg/bg/vik/vprosi-i-otgovori-vik.html</w:t>
        </w:r>
      </w:hyperlink>
      <w:r w:rsidRPr="00F457AD">
        <w:rPr>
          <w:rFonts w:ascii="Calibri" w:eastAsia="Calibri" w:hAnsi="Calibri" w:cs="Calibri"/>
          <w:i/>
          <w:color w:val="000000" w:themeColor="text1"/>
          <w:sz w:val="24"/>
          <w:szCs w:val="24"/>
          <w:lang w:val="bg-BG"/>
        </w:rPr>
        <w:t xml:space="preserve"> </w:t>
      </w:r>
    </w:p>
    <w:p w:rsidR="00BF4372" w:rsidRDefault="00BF4372" w:rsidP="001337FB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eastAsia="Calibri" w:hAnsiTheme="minorHAnsi" w:cstheme="minorHAnsi"/>
          <w:bCs/>
          <w:color w:val="000000" w:themeColor="text1"/>
          <w:sz w:val="24"/>
          <w:szCs w:val="24"/>
          <w:lang w:val="bg-BG"/>
        </w:rPr>
      </w:pPr>
      <w:bookmarkStart w:id="0" w:name="_GoBack"/>
      <w:bookmarkEnd w:id="0"/>
    </w:p>
    <w:p w:rsidR="00BF4372" w:rsidRPr="00F457AD" w:rsidRDefault="00BF4372" w:rsidP="008E13B3">
      <w:pPr>
        <w:overflowPunct/>
        <w:autoSpaceDE/>
        <w:autoSpaceDN/>
        <w:adjustRightInd/>
        <w:spacing w:after="160" w:line="259" w:lineRule="auto"/>
        <w:ind w:firstLine="708"/>
        <w:jc w:val="both"/>
        <w:textAlignment w:val="auto"/>
        <w:rPr>
          <w:rFonts w:asciiTheme="minorHAnsi" w:eastAsia="Calibri" w:hAnsiTheme="minorHAnsi" w:cstheme="minorHAnsi"/>
          <w:bCs/>
          <w:color w:val="000000" w:themeColor="text1"/>
          <w:sz w:val="24"/>
          <w:szCs w:val="24"/>
          <w:lang w:val="bg-BG"/>
        </w:rPr>
      </w:pPr>
      <w:r>
        <w:rPr>
          <w:rFonts w:asciiTheme="minorHAnsi" w:eastAsia="Calibri" w:hAnsiTheme="minorHAnsi" w:cstheme="minorHAnsi"/>
          <w:bCs/>
          <w:color w:val="000000" w:themeColor="text1"/>
          <w:sz w:val="24"/>
          <w:szCs w:val="24"/>
          <w:lang w:val="bg-BG"/>
        </w:rPr>
        <w:tab/>
      </w:r>
      <w:r>
        <w:rPr>
          <w:rFonts w:asciiTheme="minorHAnsi" w:eastAsia="Calibri" w:hAnsiTheme="minorHAnsi" w:cstheme="minorHAnsi"/>
          <w:bCs/>
          <w:color w:val="000000" w:themeColor="text1"/>
          <w:sz w:val="24"/>
          <w:szCs w:val="24"/>
          <w:lang w:val="bg-BG"/>
        </w:rPr>
        <w:tab/>
      </w:r>
      <w:r>
        <w:rPr>
          <w:rFonts w:asciiTheme="minorHAnsi" w:eastAsia="Calibri" w:hAnsiTheme="minorHAnsi" w:cstheme="minorHAnsi"/>
          <w:bCs/>
          <w:color w:val="000000" w:themeColor="text1"/>
          <w:sz w:val="24"/>
          <w:szCs w:val="24"/>
          <w:lang w:val="bg-BG"/>
        </w:rPr>
        <w:tab/>
      </w:r>
      <w:r>
        <w:rPr>
          <w:rFonts w:asciiTheme="minorHAnsi" w:eastAsia="Calibri" w:hAnsiTheme="minorHAnsi" w:cstheme="minorHAnsi"/>
          <w:bCs/>
          <w:color w:val="000000" w:themeColor="text1"/>
          <w:sz w:val="24"/>
          <w:szCs w:val="24"/>
          <w:lang w:val="bg-BG"/>
        </w:rPr>
        <w:tab/>
      </w:r>
      <w:r>
        <w:rPr>
          <w:rFonts w:asciiTheme="minorHAnsi" w:eastAsia="Calibri" w:hAnsiTheme="minorHAnsi" w:cstheme="minorHAnsi"/>
          <w:bCs/>
          <w:color w:val="000000" w:themeColor="text1"/>
          <w:sz w:val="24"/>
          <w:szCs w:val="24"/>
          <w:lang w:val="bg-BG"/>
        </w:rPr>
        <w:tab/>
      </w:r>
      <w:r>
        <w:rPr>
          <w:rFonts w:asciiTheme="minorHAnsi" w:eastAsia="Calibri" w:hAnsiTheme="minorHAnsi" w:cstheme="minorHAnsi"/>
          <w:bCs/>
          <w:color w:val="000000" w:themeColor="text1"/>
          <w:sz w:val="24"/>
          <w:szCs w:val="24"/>
          <w:lang w:val="bg-BG"/>
        </w:rPr>
        <w:tab/>
      </w:r>
      <w:r>
        <w:rPr>
          <w:rFonts w:asciiTheme="minorHAnsi" w:eastAsia="Calibri" w:hAnsiTheme="minorHAnsi" w:cstheme="minorHAnsi"/>
          <w:bCs/>
          <w:color w:val="000000" w:themeColor="text1"/>
          <w:sz w:val="24"/>
          <w:szCs w:val="24"/>
          <w:lang w:val="bg-BG"/>
        </w:rPr>
        <w:tab/>
        <w:t>ПРЕСЦЕНТЪР НА КЕВР</w:t>
      </w:r>
    </w:p>
    <w:sectPr w:rsidR="00BF4372" w:rsidRPr="00F457AD" w:rsidSect="00720C4A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1440" w:right="1080" w:bottom="1440" w:left="1080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A84" w:rsidRDefault="00F11A84">
      <w:r>
        <w:separator/>
      </w:r>
    </w:p>
  </w:endnote>
  <w:endnote w:type="continuationSeparator" w:id="0">
    <w:p w:rsidR="00F11A84" w:rsidRDefault="00F1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03F" w:rsidRDefault="0099503F" w:rsidP="00734F33">
    <w:pPr>
      <w:pStyle w:val="a4"/>
      <w:jc w:val="right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1337FB">
      <w:rPr>
        <w:rStyle w:val="a9"/>
        <w:noProof/>
      </w:rPr>
      <w:t>6</w:t>
    </w:r>
    <w:r>
      <w:rPr>
        <w:rStyle w:val="a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22" w:type="dxa"/>
      <w:tblBorders>
        <w:top w:val="single" w:sz="4" w:space="0" w:color="auto"/>
      </w:tblBorders>
      <w:tblCellMar>
        <w:top w:w="85" w:type="dxa"/>
        <w:bottom w:w="85" w:type="dxa"/>
      </w:tblCellMar>
      <w:tblLook w:val="04A0" w:firstRow="1" w:lastRow="0" w:firstColumn="1" w:lastColumn="0" w:noHBand="0" w:noVBand="1"/>
    </w:tblPr>
    <w:tblGrid>
      <w:gridCol w:w="9322"/>
    </w:tblGrid>
    <w:tr w:rsidR="006852BE" w:rsidRPr="008F7AB9" w:rsidTr="008F7AB9">
      <w:tc>
        <w:tcPr>
          <w:tcW w:w="9322" w:type="dxa"/>
          <w:shd w:val="clear" w:color="auto" w:fill="auto"/>
          <w:vAlign w:val="center"/>
        </w:tcPr>
        <w:p w:rsidR="006852BE" w:rsidRPr="008F7AB9" w:rsidRDefault="006852BE" w:rsidP="008F7AB9">
          <w:pPr>
            <w:pStyle w:val="a4"/>
            <w:tabs>
              <w:tab w:val="left" w:pos="7230"/>
              <w:tab w:val="left" w:pos="7655"/>
            </w:tabs>
            <w:spacing w:line="216" w:lineRule="auto"/>
            <w:jc w:val="center"/>
            <w:rPr>
              <w:rFonts w:ascii="Verdana" w:hAnsi="Verdana"/>
              <w:noProof/>
              <w:sz w:val="16"/>
              <w:szCs w:val="16"/>
              <w:lang w:val="bg-BG"/>
            </w:rPr>
          </w:pPr>
          <w:r w:rsidRPr="008F7AB9">
            <w:rPr>
              <w:rFonts w:ascii="Verdana" w:hAnsi="Verdana"/>
              <w:noProof/>
              <w:sz w:val="16"/>
              <w:szCs w:val="16"/>
              <w:lang w:val="bg-BG"/>
            </w:rPr>
            <w:t>гр. София 10</w:t>
          </w:r>
          <w:r w:rsidRPr="008F7AB9">
            <w:rPr>
              <w:rFonts w:ascii="Verdana" w:hAnsi="Verdana"/>
              <w:noProof/>
              <w:sz w:val="16"/>
              <w:szCs w:val="16"/>
            </w:rPr>
            <w:t>00</w:t>
          </w:r>
          <w:r w:rsidRPr="008F7AB9">
            <w:rPr>
              <w:rFonts w:ascii="Verdana" w:hAnsi="Verdana"/>
              <w:noProof/>
              <w:sz w:val="16"/>
              <w:szCs w:val="16"/>
              <w:lang w:val="bg-BG"/>
            </w:rPr>
            <w:t>, бул. "Кн. Ал. Дондуков" №</w:t>
          </w:r>
          <w:r w:rsidR="00E140FD" w:rsidRPr="008F7AB9">
            <w:rPr>
              <w:rFonts w:ascii="Verdana" w:hAnsi="Verdana"/>
              <w:noProof/>
              <w:sz w:val="16"/>
              <w:szCs w:val="16"/>
            </w:rPr>
            <w:t xml:space="preserve"> </w:t>
          </w:r>
          <w:r w:rsidRPr="008F7AB9">
            <w:rPr>
              <w:rFonts w:ascii="Verdana" w:hAnsi="Verdana"/>
              <w:noProof/>
              <w:sz w:val="16"/>
              <w:szCs w:val="16"/>
              <w:lang w:val="bg-BG"/>
            </w:rPr>
            <w:t>8-10</w:t>
          </w:r>
        </w:p>
        <w:p w:rsidR="006852BE" w:rsidRPr="008F7AB9" w:rsidRDefault="006852BE" w:rsidP="008F7AB9">
          <w:pPr>
            <w:pStyle w:val="a4"/>
            <w:tabs>
              <w:tab w:val="left" w:pos="7230"/>
              <w:tab w:val="left" w:pos="7655"/>
            </w:tabs>
            <w:spacing w:line="216" w:lineRule="auto"/>
            <w:jc w:val="center"/>
            <w:rPr>
              <w:rFonts w:ascii="Verdana" w:hAnsi="Verdana"/>
              <w:noProof/>
              <w:sz w:val="16"/>
              <w:szCs w:val="16"/>
              <w:lang w:val="it-IT"/>
            </w:rPr>
          </w:pPr>
          <w:r w:rsidRPr="008F7AB9">
            <w:rPr>
              <w:rFonts w:ascii="Verdana" w:hAnsi="Verdana"/>
              <w:noProof/>
              <w:sz w:val="16"/>
              <w:szCs w:val="16"/>
              <w:lang w:val="it-IT"/>
            </w:rPr>
            <w:t xml:space="preserve">тел.: </w:t>
          </w:r>
          <w:r w:rsidRPr="008F7AB9">
            <w:rPr>
              <w:rFonts w:ascii="Verdana" w:hAnsi="Verdana"/>
              <w:noProof/>
              <w:sz w:val="16"/>
              <w:szCs w:val="16"/>
              <w:lang w:val="bg-BG"/>
            </w:rPr>
            <w:t>(</w:t>
          </w:r>
          <w:r w:rsidRPr="008F7AB9">
            <w:rPr>
              <w:rFonts w:ascii="Verdana" w:hAnsi="Verdana"/>
              <w:noProof/>
              <w:sz w:val="16"/>
              <w:szCs w:val="16"/>
              <w:lang w:val="it-IT"/>
            </w:rPr>
            <w:t>+3592</w:t>
          </w:r>
          <w:r w:rsidRPr="008F7AB9">
            <w:rPr>
              <w:rFonts w:ascii="Verdana" w:hAnsi="Verdana"/>
              <w:noProof/>
              <w:sz w:val="16"/>
              <w:szCs w:val="16"/>
              <w:lang w:val="bg-BG"/>
            </w:rPr>
            <w:t>)</w:t>
          </w:r>
          <w:r w:rsidRPr="008F7AB9">
            <w:rPr>
              <w:rFonts w:ascii="Verdana" w:hAnsi="Verdana"/>
              <w:noProof/>
              <w:sz w:val="16"/>
              <w:szCs w:val="16"/>
              <w:lang w:val="it-IT"/>
            </w:rPr>
            <w:t xml:space="preserve"> 988 24 98; факс: </w:t>
          </w:r>
          <w:r w:rsidRPr="008F7AB9">
            <w:rPr>
              <w:rFonts w:ascii="Verdana" w:hAnsi="Verdana"/>
              <w:noProof/>
              <w:sz w:val="16"/>
              <w:szCs w:val="16"/>
              <w:lang w:val="bg-BG"/>
            </w:rPr>
            <w:t>(</w:t>
          </w:r>
          <w:r w:rsidRPr="008F7AB9">
            <w:rPr>
              <w:rFonts w:ascii="Verdana" w:hAnsi="Verdana"/>
              <w:noProof/>
              <w:sz w:val="16"/>
              <w:szCs w:val="16"/>
              <w:lang w:val="it-IT"/>
            </w:rPr>
            <w:t>+3592</w:t>
          </w:r>
          <w:r w:rsidRPr="008F7AB9">
            <w:rPr>
              <w:rFonts w:ascii="Verdana" w:hAnsi="Verdana"/>
              <w:noProof/>
              <w:sz w:val="16"/>
              <w:szCs w:val="16"/>
              <w:lang w:val="bg-BG"/>
            </w:rPr>
            <w:t>)</w:t>
          </w:r>
          <w:r w:rsidRPr="008F7AB9">
            <w:rPr>
              <w:rFonts w:ascii="Verdana" w:hAnsi="Verdana"/>
              <w:noProof/>
              <w:sz w:val="16"/>
              <w:szCs w:val="16"/>
              <w:lang w:val="it-IT"/>
            </w:rPr>
            <w:t xml:space="preserve"> 988 87 82</w:t>
          </w:r>
        </w:p>
        <w:p w:rsidR="006852BE" w:rsidRPr="008F7AB9" w:rsidRDefault="00B36CE4" w:rsidP="00DD2F55">
          <w:pPr>
            <w:pStyle w:val="a4"/>
            <w:tabs>
              <w:tab w:val="left" w:pos="7230"/>
              <w:tab w:val="left" w:pos="7655"/>
            </w:tabs>
            <w:spacing w:line="216" w:lineRule="auto"/>
            <w:jc w:val="center"/>
            <w:rPr>
              <w:rFonts w:ascii="Verdana" w:hAnsi="Verdana"/>
              <w:noProof/>
              <w:sz w:val="16"/>
              <w:szCs w:val="16"/>
            </w:rPr>
          </w:pPr>
          <w:r w:rsidRPr="00B36CE4">
            <w:rPr>
              <w:rFonts w:ascii="Verdana" w:hAnsi="Verdana"/>
              <w:noProof/>
              <w:sz w:val="16"/>
              <w:szCs w:val="16"/>
            </w:rPr>
            <w:t>www.dker.bg</w:t>
          </w:r>
          <w:r w:rsidR="00DD2F55">
            <w:rPr>
              <w:rFonts w:ascii="Verdana" w:hAnsi="Verdana"/>
              <w:noProof/>
              <w:sz w:val="16"/>
              <w:szCs w:val="16"/>
            </w:rPr>
            <w:t xml:space="preserve">, </w:t>
          </w:r>
          <w:r w:rsidR="006852BE" w:rsidRPr="008F7AB9">
            <w:rPr>
              <w:rFonts w:ascii="Verdana" w:hAnsi="Verdana"/>
              <w:noProof/>
              <w:sz w:val="16"/>
              <w:szCs w:val="16"/>
              <w:lang w:val="it-IT"/>
            </w:rPr>
            <w:t>e-mail: dker@dker.bg</w:t>
          </w:r>
        </w:p>
      </w:tc>
    </w:tr>
  </w:tbl>
  <w:p w:rsidR="006852BE" w:rsidRDefault="006852BE" w:rsidP="006852BE">
    <w:pPr>
      <w:pStyle w:val="a4"/>
      <w:tabs>
        <w:tab w:val="left" w:pos="7230"/>
        <w:tab w:val="left" w:pos="7655"/>
      </w:tabs>
      <w:spacing w:line="21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A84" w:rsidRDefault="00F11A84">
      <w:r>
        <w:separator/>
      </w:r>
    </w:p>
  </w:footnote>
  <w:footnote w:type="continuationSeparator" w:id="0">
    <w:p w:rsidR="00F11A84" w:rsidRDefault="00F11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D8C" w:rsidRDefault="00F11A84">
    <w:pPr>
      <w:pStyle w:val="a3"/>
    </w:pPr>
    <w:r>
      <w:rPr>
        <w:noProof/>
        <w:lang w:val="bg-BG" w:eastAsia="bg-BG"/>
      </w:rPr>
      <w:pict w14:anchorId="2E9010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738626" o:spid="_x0000_s2056" type="#_x0000_t75" style="position:absolute;margin-left:0;margin-top:0;width:369.6pt;height:369.6pt;z-index:-251658752;mso-position-horizontal:center;mso-position-horizontal-relative:margin;mso-position-vertical:center;mso-position-vertical-relative:margin" o:allowincell="f">
          <v:imagedata r:id="rId1" o:title="logo-bw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D8C" w:rsidRDefault="00F11A84">
    <w:pPr>
      <w:pStyle w:val="a3"/>
    </w:pPr>
    <w:r>
      <w:rPr>
        <w:noProof/>
        <w:lang w:val="bg-BG" w:eastAsia="bg-BG"/>
      </w:rPr>
      <w:pict w14:anchorId="67D298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738627" o:spid="_x0000_s2057" type="#_x0000_t75" style="position:absolute;margin-left:0;margin-top:0;width:369.6pt;height:369.6pt;z-index:-251657728;mso-position-horizontal:center;mso-position-horizontal-relative:margin;mso-position-vertical:center;mso-position-vertical-relative:margin" o:allowincell="f">
          <v:imagedata r:id="rId1" o:title="logo-bw-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  <w:tblLook w:val="04A0" w:firstRow="1" w:lastRow="0" w:firstColumn="1" w:lastColumn="0" w:noHBand="0" w:noVBand="1"/>
    </w:tblPr>
    <w:tblGrid>
      <w:gridCol w:w="4911"/>
      <w:gridCol w:w="4411"/>
    </w:tblGrid>
    <w:tr w:rsidR="005113F0" w:rsidRPr="00842852" w:rsidTr="005113F0">
      <w:tc>
        <w:tcPr>
          <w:tcW w:w="491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5113F0" w:rsidRPr="00842852" w:rsidRDefault="00A841A1" w:rsidP="005113F0">
          <w:pPr>
            <w:pStyle w:val="a3"/>
            <w:rPr>
              <w:u w:val="single"/>
            </w:rPr>
          </w:pPr>
          <w:r>
            <w:rPr>
              <w:noProof/>
              <w:lang w:val="bg-BG" w:eastAsia="bg-BG"/>
            </w:rPr>
            <w:drawing>
              <wp:inline distT="0" distB="0" distL="0" distR="0" wp14:anchorId="1541EE48" wp14:editId="1D5EF163">
                <wp:extent cx="2867660" cy="810260"/>
                <wp:effectExtent l="0" t="0" r="8890" b="8890"/>
                <wp:docPr id="1" name="Picture 1" descr="logo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766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5113F0" w:rsidRPr="005113F0" w:rsidRDefault="00A841A1" w:rsidP="005113F0">
          <w:pPr>
            <w:pStyle w:val="a3"/>
            <w:jc w:val="right"/>
          </w:pPr>
          <w:r>
            <w:rPr>
              <w:noProof/>
              <w:lang w:val="bg-BG" w:eastAsia="bg-BG"/>
            </w:rPr>
            <w:drawing>
              <wp:inline distT="0" distB="0" distL="0" distR="0" wp14:anchorId="5E5F2367" wp14:editId="02DE085A">
                <wp:extent cx="810260" cy="810260"/>
                <wp:effectExtent l="0" t="0" r="8890" b="8890"/>
                <wp:docPr id="2" name="Picture 2" descr="logo-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26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B41A7" w:rsidRPr="007B41A7" w:rsidRDefault="00F11A84" w:rsidP="007B41A7">
    <w:pPr>
      <w:pStyle w:val="a3"/>
      <w:rPr>
        <w:u w:val="single"/>
      </w:rPr>
    </w:pPr>
    <w:r>
      <w:rPr>
        <w:noProof/>
        <w:lang w:val="bg-BG" w:eastAsia="bg-BG"/>
      </w:rPr>
      <w:pict w14:anchorId="1AF327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738625" o:spid="_x0000_s2055" type="#_x0000_t75" style="position:absolute;margin-left:44.2pt;margin-top:314.1pt;width:369.6pt;height:369.6pt;z-index:-251659776;mso-position-horizontal-relative:margin;mso-position-vertical-relative:margin" o:allowincell="f">
          <v:imagedata r:id="rId3" o:title="logo-bw-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46"/>
    <w:multiLevelType w:val="hybridMultilevel"/>
    <w:tmpl w:val="52864C20"/>
    <w:lvl w:ilvl="0" w:tplc="0402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3504F3C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E701953"/>
    <w:multiLevelType w:val="hybridMultilevel"/>
    <w:tmpl w:val="7FA44FCE"/>
    <w:lvl w:ilvl="0" w:tplc="0402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3504F3C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3FC7150"/>
    <w:multiLevelType w:val="hybridMultilevel"/>
    <w:tmpl w:val="EAF8C25C"/>
    <w:lvl w:ilvl="0" w:tplc="13F893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DD327E7"/>
    <w:multiLevelType w:val="hybridMultilevel"/>
    <w:tmpl w:val="B31E0AE6"/>
    <w:lvl w:ilvl="0" w:tplc="AC5000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44F29"/>
    <w:multiLevelType w:val="hybridMultilevel"/>
    <w:tmpl w:val="7152F2C6"/>
    <w:lvl w:ilvl="0" w:tplc="C3E60678">
      <w:start w:val="156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7523367"/>
    <w:multiLevelType w:val="hybridMultilevel"/>
    <w:tmpl w:val="FE4060EE"/>
    <w:lvl w:ilvl="0" w:tplc="D60ACCEC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6E23708"/>
    <w:multiLevelType w:val="hybridMultilevel"/>
    <w:tmpl w:val="E476176E"/>
    <w:lvl w:ilvl="0" w:tplc="0402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3504F3C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9D26205"/>
    <w:multiLevelType w:val="hybridMultilevel"/>
    <w:tmpl w:val="67989410"/>
    <w:lvl w:ilvl="0" w:tplc="40C4028E">
      <w:start w:val="20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036136D"/>
    <w:multiLevelType w:val="hybridMultilevel"/>
    <w:tmpl w:val="9DEE39A4"/>
    <w:lvl w:ilvl="0" w:tplc="9B70C1E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506" w:hanging="360"/>
      </w:pPr>
    </w:lvl>
    <w:lvl w:ilvl="2" w:tplc="0402001B">
      <w:start w:val="1"/>
      <w:numFmt w:val="lowerRoman"/>
      <w:lvlText w:val="%3."/>
      <w:lvlJc w:val="right"/>
      <w:pPr>
        <w:ind w:left="2226" w:hanging="180"/>
      </w:pPr>
    </w:lvl>
    <w:lvl w:ilvl="3" w:tplc="0402000F">
      <w:start w:val="1"/>
      <w:numFmt w:val="decimal"/>
      <w:lvlText w:val="%4."/>
      <w:lvlJc w:val="left"/>
      <w:pPr>
        <w:ind w:left="2946" w:hanging="360"/>
      </w:pPr>
    </w:lvl>
    <w:lvl w:ilvl="4" w:tplc="04020019">
      <w:start w:val="1"/>
      <w:numFmt w:val="lowerLetter"/>
      <w:lvlText w:val="%5."/>
      <w:lvlJc w:val="left"/>
      <w:pPr>
        <w:ind w:left="3666" w:hanging="360"/>
      </w:pPr>
    </w:lvl>
    <w:lvl w:ilvl="5" w:tplc="0402001B">
      <w:start w:val="1"/>
      <w:numFmt w:val="lowerRoman"/>
      <w:lvlText w:val="%6."/>
      <w:lvlJc w:val="right"/>
      <w:pPr>
        <w:ind w:left="4386" w:hanging="180"/>
      </w:pPr>
    </w:lvl>
    <w:lvl w:ilvl="6" w:tplc="0402000F">
      <w:start w:val="1"/>
      <w:numFmt w:val="decimal"/>
      <w:lvlText w:val="%7."/>
      <w:lvlJc w:val="left"/>
      <w:pPr>
        <w:ind w:left="5106" w:hanging="360"/>
      </w:pPr>
    </w:lvl>
    <w:lvl w:ilvl="7" w:tplc="04020019">
      <w:start w:val="1"/>
      <w:numFmt w:val="lowerLetter"/>
      <w:lvlText w:val="%8."/>
      <w:lvlJc w:val="left"/>
      <w:pPr>
        <w:ind w:left="5826" w:hanging="360"/>
      </w:pPr>
    </w:lvl>
    <w:lvl w:ilvl="8" w:tplc="0402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383"/>
    <w:rsid w:val="00001DF4"/>
    <w:rsid w:val="00004922"/>
    <w:rsid w:val="00005581"/>
    <w:rsid w:val="00006AEB"/>
    <w:rsid w:val="00007307"/>
    <w:rsid w:val="00010D0B"/>
    <w:rsid w:val="000110C0"/>
    <w:rsid w:val="00017480"/>
    <w:rsid w:val="000204E4"/>
    <w:rsid w:val="00021520"/>
    <w:rsid w:val="00021727"/>
    <w:rsid w:val="00024063"/>
    <w:rsid w:val="0002495F"/>
    <w:rsid w:val="0002517E"/>
    <w:rsid w:val="0002564B"/>
    <w:rsid w:val="00031F38"/>
    <w:rsid w:val="00032751"/>
    <w:rsid w:val="00032F58"/>
    <w:rsid w:val="00032F99"/>
    <w:rsid w:val="00035D77"/>
    <w:rsid w:val="0003711E"/>
    <w:rsid w:val="00037620"/>
    <w:rsid w:val="000408D2"/>
    <w:rsid w:val="00043549"/>
    <w:rsid w:val="00043E3D"/>
    <w:rsid w:val="00044CD6"/>
    <w:rsid w:val="00044E31"/>
    <w:rsid w:val="00045E54"/>
    <w:rsid w:val="000462C5"/>
    <w:rsid w:val="000477A0"/>
    <w:rsid w:val="000505E4"/>
    <w:rsid w:val="000509C6"/>
    <w:rsid w:val="00050FEE"/>
    <w:rsid w:val="000516B5"/>
    <w:rsid w:val="00052697"/>
    <w:rsid w:val="000608C3"/>
    <w:rsid w:val="00062C2E"/>
    <w:rsid w:val="00065587"/>
    <w:rsid w:val="000707C6"/>
    <w:rsid w:val="00070CD2"/>
    <w:rsid w:val="000718BD"/>
    <w:rsid w:val="000727E7"/>
    <w:rsid w:val="0007610B"/>
    <w:rsid w:val="0007624B"/>
    <w:rsid w:val="000812FB"/>
    <w:rsid w:val="000819C6"/>
    <w:rsid w:val="000832A2"/>
    <w:rsid w:val="00083C85"/>
    <w:rsid w:val="00085398"/>
    <w:rsid w:val="0008600C"/>
    <w:rsid w:val="00086281"/>
    <w:rsid w:val="00087374"/>
    <w:rsid w:val="000922A7"/>
    <w:rsid w:val="000922B0"/>
    <w:rsid w:val="00092C5E"/>
    <w:rsid w:val="000931F5"/>
    <w:rsid w:val="00093CAF"/>
    <w:rsid w:val="000944D2"/>
    <w:rsid w:val="00094D1D"/>
    <w:rsid w:val="00096AF9"/>
    <w:rsid w:val="00096EAD"/>
    <w:rsid w:val="0009750E"/>
    <w:rsid w:val="000A1ED1"/>
    <w:rsid w:val="000A34AB"/>
    <w:rsid w:val="000A48D4"/>
    <w:rsid w:val="000A6A33"/>
    <w:rsid w:val="000B106D"/>
    <w:rsid w:val="000B202E"/>
    <w:rsid w:val="000B314D"/>
    <w:rsid w:val="000B4096"/>
    <w:rsid w:val="000B716E"/>
    <w:rsid w:val="000B7D18"/>
    <w:rsid w:val="000B7E56"/>
    <w:rsid w:val="000B7EF5"/>
    <w:rsid w:val="000C0D07"/>
    <w:rsid w:val="000C1704"/>
    <w:rsid w:val="000C277D"/>
    <w:rsid w:val="000C5533"/>
    <w:rsid w:val="000C55CC"/>
    <w:rsid w:val="000C602E"/>
    <w:rsid w:val="000C70C1"/>
    <w:rsid w:val="000C7237"/>
    <w:rsid w:val="000C768C"/>
    <w:rsid w:val="000C7F98"/>
    <w:rsid w:val="000D0159"/>
    <w:rsid w:val="000D0834"/>
    <w:rsid w:val="000D35C9"/>
    <w:rsid w:val="000D4205"/>
    <w:rsid w:val="000D59BF"/>
    <w:rsid w:val="000D6086"/>
    <w:rsid w:val="000D6616"/>
    <w:rsid w:val="000D73B5"/>
    <w:rsid w:val="000E1546"/>
    <w:rsid w:val="000E4AA5"/>
    <w:rsid w:val="000E59F5"/>
    <w:rsid w:val="000E5C3C"/>
    <w:rsid w:val="000E6CB4"/>
    <w:rsid w:val="000E7AF6"/>
    <w:rsid w:val="000E7CF4"/>
    <w:rsid w:val="000F303D"/>
    <w:rsid w:val="000F4EF8"/>
    <w:rsid w:val="000F702A"/>
    <w:rsid w:val="000F794B"/>
    <w:rsid w:val="00100033"/>
    <w:rsid w:val="001051DE"/>
    <w:rsid w:val="001052ED"/>
    <w:rsid w:val="001069F3"/>
    <w:rsid w:val="0010724E"/>
    <w:rsid w:val="00110988"/>
    <w:rsid w:val="001115CF"/>
    <w:rsid w:val="00113453"/>
    <w:rsid w:val="001134C2"/>
    <w:rsid w:val="001142D9"/>
    <w:rsid w:val="0011497B"/>
    <w:rsid w:val="00115334"/>
    <w:rsid w:val="001154F5"/>
    <w:rsid w:val="00115EBC"/>
    <w:rsid w:val="00120BEE"/>
    <w:rsid w:val="00122948"/>
    <w:rsid w:val="001238E4"/>
    <w:rsid w:val="00126C2E"/>
    <w:rsid w:val="00127AAD"/>
    <w:rsid w:val="00127CC2"/>
    <w:rsid w:val="00127CE6"/>
    <w:rsid w:val="001310F6"/>
    <w:rsid w:val="0013181E"/>
    <w:rsid w:val="00131F83"/>
    <w:rsid w:val="001326B9"/>
    <w:rsid w:val="001337FB"/>
    <w:rsid w:val="00133923"/>
    <w:rsid w:val="0013505A"/>
    <w:rsid w:val="00136123"/>
    <w:rsid w:val="001412C0"/>
    <w:rsid w:val="001414A9"/>
    <w:rsid w:val="00143BFB"/>
    <w:rsid w:val="001501F2"/>
    <w:rsid w:val="00151103"/>
    <w:rsid w:val="001513CB"/>
    <w:rsid w:val="00152688"/>
    <w:rsid w:val="001543A4"/>
    <w:rsid w:val="00156F8B"/>
    <w:rsid w:val="001576CB"/>
    <w:rsid w:val="00157D1E"/>
    <w:rsid w:val="00163E90"/>
    <w:rsid w:val="00165D27"/>
    <w:rsid w:val="0016610D"/>
    <w:rsid w:val="001664BF"/>
    <w:rsid w:val="0017020B"/>
    <w:rsid w:val="0017100E"/>
    <w:rsid w:val="00172A49"/>
    <w:rsid w:val="00172ABD"/>
    <w:rsid w:val="00172DB5"/>
    <w:rsid w:val="00175CEB"/>
    <w:rsid w:val="001765C2"/>
    <w:rsid w:val="0018076A"/>
    <w:rsid w:val="001811B6"/>
    <w:rsid w:val="00181239"/>
    <w:rsid w:val="001825E1"/>
    <w:rsid w:val="001840EF"/>
    <w:rsid w:val="0018583B"/>
    <w:rsid w:val="00186253"/>
    <w:rsid w:val="00187E06"/>
    <w:rsid w:val="00190723"/>
    <w:rsid w:val="00191CEA"/>
    <w:rsid w:val="001921BB"/>
    <w:rsid w:val="001928C4"/>
    <w:rsid w:val="00192FC1"/>
    <w:rsid w:val="001932E0"/>
    <w:rsid w:val="001946FC"/>
    <w:rsid w:val="00195029"/>
    <w:rsid w:val="001A1220"/>
    <w:rsid w:val="001A1B05"/>
    <w:rsid w:val="001A1B20"/>
    <w:rsid w:val="001A32A5"/>
    <w:rsid w:val="001A4DC6"/>
    <w:rsid w:val="001A6F85"/>
    <w:rsid w:val="001A7039"/>
    <w:rsid w:val="001A7635"/>
    <w:rsid w:val="001B0039"/>
    <w:rsid w:val="001B0C67"/>
    <w:rsid w:val="001B0F28"/>
    <w:rsid w:val="001B1341"/>
    <w:rsid w:val="001B28D0"/>
    <w:rsid w:val="001B346A"/>
    <w:rsid w:val="001B4BA5"/>
    <w:rsid w:val="001B5138"/>
    <w:rsid w:val="001B7367"/>
    <w:rsid w:val="001B7A7C"/>
    <w:rsid w:val="001C06C8"/>
    <w:rsid w:val="001C09DD"/>
    <w:rsid w:val="001C0A13"/>
    <w:rsid w:val="001C0D5C"/>
    <w:rsid w:val="001C1DC6"/>
    <w:rsid w:val="001C20CD"/>
    <w:rsid w:val="001C2285"/>
    <w:rsid w:val="001C49E0"/>
    <w:rsid w:val="001C6AA6"/>
    <w:rsid w:val="001C6E4B"/>
    <w:rsid w:val="001C7DDE"/>
    <w:rsid w:val="001D1E09"/>
    <w:rsid w:val="001D2166"/>
    <w:rsid w:val="001D36CB"/>
    <w:rsid w:val="001D4E2D"/>
    <w:rsid w:val="001D5A29"/>
    <w:rsid w:val="001E188A"/>
    <w:rsid w:val="001E1B86"/>
    <w:rsid w:val="001E2078"/>
    <w:rsid w:val="001E4997"/>
    <w:rsid w:val="001E49DB"/>
    <w:rsid w:val="001E4FA1"/>
    <w:rsid w:val="001E763D"/>
    <w:rsid w:val="001E7C26"/>
    <w:rsid w:val="001F08CC"/>
    <w:rsid w:val="001F09DF"/>
    <w:rsid w:val="001F168F"/>
    <w:rsid w:val="001F1917"/>
    <w:rsid w:val="001F3E1F"/>
    <w:rsid w:val="001F4897"/>
    <w:rsid w:val="0020005A"/>
    <w:rsid w:val="002045D6"/>
    <w:rsid w:val="00204EE4"/>
    <w:rsid w:val="002050B6"/>
    <w:rsid w:val="0020653E"/>
    <w:rsid w:val="0020705D"/>
    <w:rsid w:val="00213B6B"/>
    <w:rsid w:val="0021449A"/>
    <w:rsid w:val="002153F0"/>
    <w:rsid w:val="00216BF1"/>
    <w:rsid w:val="002177FC"/>
    <w:rsid w:val="00217BE6"/>
    <w:rsid w:val="00220DC6"/>
    <w:rsid w:val="00221B7D"/>
    <w:rsid w:val="00221E11"/>
    <w:rsid w:val="00223E04"/>
    <w:rsid w:val="002240CB"/>
    <w:rsid w:val="0022518A"/>
    <w:rsid w:val="00225CC6"/>
    <w:rsid w:val="002268F5"/>
    <w:rsid w:val="002300A6"/>
    <w:rsid w:val="002302C5"/>
    <w:rsid w:val="00231A34"/>
    <w:rsid w:val="00234EA4"/>
    <w:rsid w:val="002378AB"/>
    <w:rsid w:val="00237E52"/>
    <w:rsid w:val="00240B0A"/>
    <w:rsid w:val="0024372A"/>
    <w:rsid w:val="002438C2"/>
    <w:rsid w:val="00245FB6"/>
    <w:rsid w:val="00246540"/>
    <w:rsid w:val="00250AB6"/>
    <w:rsid w:val="0025171E"/>
    <w:rsid w:val="0025207F"/>
    <w:rsid w:val="00252731"/>
    <w:rsid w:val="00252BA2"/>
    <w:rsid w:val="002534C2"/>
    <w:rsid w:val="00254042"/>
    <w:rsid w:val="002600AA"/>
    <w:rsid w:val="002613B2"/>
    <w:rsid w:val="0026291A"/>
    <w:rsid w:val="00262C46"/>
    <w:rsid w:val="00266D04"/>
    <w:rsid w:val="00267A86"/>
    <w:rsid w:val="002709A9"/>
    <w:rsid w:val="00271CA5"/>
    <w:rsid w:val="00272606"/>
    <w:rsid w:val="00272D7A"/>
    <w:rsid w:val="00275150"/>
    <w:rsid w:val="002758B6"/>
    <w:rsid w:val="00277B9C"/>
    <w:rsid w:val="0028221B"/>
    <w:rsid w:val="0028285B"/>
    <w:rsid w:val="00284ADD"/>
    <w:rsid w:val="00284F23"/>
    <w:rsid w:val="0028507D"/>
    <w:rsid w:val="0028577C"/>
    <w:rsid w:val="00285E8D"/>
    <w:rsid w:val="002871F7"/>
    <w:rsid w:val="002874A5"/>
    <w:rsid w:val="00295137"/>
    <w:rsid w:val="00297C30"/>
    <w:rsid w:val="002A22CA"/>
    <w:rsid w:val="002A3564"/>
    <w:rsid w:val="002A549D"/>
    <w:rsid w:val="002A5ED7"/>
    <w:rsid w:val="002A7FDA"/>
    <w:rsid w:val="002B548A"/>
    <w:rsid w:val="002B5585"/>
    <w:rsid w:val="002B6A07"/>
    <w:rsid w:val="002C09A7"/>
    <w:rsid w:val="002C0C83"/>
    <w:rsid w:val="002C1E5B"/>
    <w:rsid w:val="002C4016"/>
    <w:rsid w:val="002C4C8D"/>
    <w:rsid w:val="002C76B3"/>
    <w:rsid w:val="002C797A"/>
    <w:rsid w:val="002D0301"/>
    <w:rsid w:val="002D3723"/>
    <w:rsid w:val="002D4718"/>
    <w:rsid w:val="002D4BAC"/>
    <w:rsid w:val="002D5010"/>
    <w:rsid w:val="002D5F1D"/>
    <w:rsid w:val="002D7C00"/>
    <w:rsid w:val="002E1116"/>
    <w:rsid w:val="002E1BCF"/>
    <w:rsid w:val="002E204B"/>
    <w:rsid w:val="002E25EF"/>
    <w:rsid w:val="002E399C"/>
    <w:rsid w:val="002E54A7"/>
    <w:rsid w:val="002E7743"/>
    <w:rsid w:val="002F098C"/>
    <w:rsid w:val="002F1124"/>
    <w:rsid w:val="002F2A4A"/>
    <w:rsid w:val="002F35F7"/>
    <w:rsid w:val="002F4820"/>
    <w:rsid w:val="00301F1C"/>
    <w:rsid w:val="00302763"/>
    <w:rsid w:val="003051A2"/>
    <w:rsid w:val="00306596"/>
    <w:rsid w:val="00306628"/>
    <w:rsid w:val="00306BB9"/>
    <w:rsid w:val="00307437"/>
    <w:rsid w:val="00307EDA"/>
    <w:rsid w:val="0031141A"/>
    <w:rsid w:val="00312459"/>
    <w:rsid w:val="00313466"/>
    <w:rsid w:val="003138C3"/>
    <w:rsid w:val="0031504E"/>
    <w:rsid w:val="00315702"/>
    <w:rsid w:val="00320209"/>
    <w:rsid w:val="00320575"/>
    <w:rsid w:val="00320C96"/>
    <w:rsid w:val="00321C94"/>
    <w:rsid w:val="0032526F"/>
    <w:rsid w:val="00325648"/>
    <w:rsid w:val="00326F2D"/>
    <w:rsid w:val="00332418"/>
    <w:rsid w:val="003326E8"/>
    <w:rsid w:val="00333A56"/>
    <w:rsid w:val="003346FD"/>
    <w:rsid w:val="00335C10"/>
    <w:rsid w:val="00335DE8"/>
    <w:rsid w:val="003362BB"/>
    <w:rsid w:val="003412D4"/>
    <w:rsid w:val="00341338"/>
    <w:rsid w:val="00343085"/>
    <w:rsid w:val="00343B8C"/>
    <w:rsid w:val="00343CF0"/>
    <w:rsid w:val="003442D2"/>
    <w:rsid w:val="003451C5"/>
    <w:rsid w:val="003475DD"/>
    <w:rsid w:val="00350229"/>
    <w:rsid w:val="00351789"/>
    <w:rsid w:val="00351DB7"/>
    <w:rsid w:val="00353580"/>
    <w:rsid w:val="003535A2"/>
    <w:rsid w:val="003537A3"/>
    <w:rsid w:val="00354D8C"/>
    <w:rsid w:val="003574DF"/>
    <w:rsid w:val="0036121A"/>
    <w:rsid w:val="0036163A"/>
    <w:rsid w:val="003620C5"/>
    <w:rsid w:val="00362464"/>
    <w:rsid w:val="0036264A"/>
    <w:rsid w:val="0036384F"/>
    <w:rsid w:val="00363C7D"/>
    <w:rsid w:val="0036559A"/>
    <w:rsid w:val="00366496"/>
    <w:rsid w:val="00371A00"/>
    <w:rsid w:val="00373037"/>
    <w:rsid w:val="0037441A"/>
    <w:rsid w:val="00374ED8"/>
    <w:rsid w:val="00376970"/>
    <w:rsid w:val="00377CD7"/>
    <w:rsid w:val="003801F0"/>
    <w:rsid w:val="003836E8"/>
    <w:rsid w:val="00384E78"/>
    <w:rsid w:val="0038565B"/>
    <w:rsid w:val="00385AF2"/>
    <w:rsid w:val="00390849"/>
    <w:rsid w:val="00391144"/>
    <w:rsid w:val="00392BB2"/>
    <w:rsid w:val="00394470"/>
    <w:rsid w:val="003947FC"/>
    <w:rsid w:val="003951C4"/>
    <w:rsid w:val="00396DA8"/>
    <w:rsid w:val="00396F3C"/>
    <w:rsid w:val="00397C79"/>
    <w:rsid w:val="003A05F5"/>
    <w:rsid w:val="003A2A99"/>
    <w:rsid w:val="003A32A1"/>
    <w:rsid w:val="003A361A"/>
    <w:rsid w:val="003A5DA3"/>
    <w:rsid w:val="003A7BCF"/>
    <w:rsid w:val="003A7CC2"/>
    <w:rsid w:val="003B0229"/>
    <w:rsid w:val="003B1E05"/>
    <w:rsid w:val="003B36AB"/>
    <w:rsid w:val="003B443B"/>
    <w:rsid w:val="003B4DD7"/>
    <w:rsid w:val="003B52F9"/>
    <w:rsid w:val="003B5C29"/>
    <w:rsid w:val="003B5F7B"/>
    <w:rsid w:val="003B6251"/>
    <w:rsid w:val="003C05EA"/>
    <w:rsid w:val="003C0FFC"/>
    <w:rsid w:val="003C45C8"/>
    <w:rsid w:val="003C5158"/>
    <w:rsid w:val="003C5F00"/>
    <w:rsid w:val="003C63CD"/>
    <w:rsid w:val="003C65B2"/>
    <w:rsid w:val="003C72D8"/>
    <w:rsid w:val="003C7766"/>
    <w:rsid w:val="003D3A21"/>
    <w:rsid w:val="003D3D79"/>
    <w:rsid w:val="003D48B2"/>
    <w:rsid w:val="003D4EC7"/>
    <w:rsid w:val="003D52CD"/>
    <w:rsid w:val="003D5526"/>
    <w:rsid w:val="003D6AAA"/>
    <w:rsid w:val="003D72AA"/>
    <w:rsid w:val="003D74A2"/>
    <w:rsid w:val="003E09BC"/>
    <w:rsid w:val="003E1915"/>
    <w:rsid w:val="003E3AF8"/>
    <w:rsid w:val="003E412F"/>
    <w:rsid w:val="003E5306"/>
    <w:rsid w:val="003E5651"/>
    <w:rsid w:val="003E5EBC"/>
    <w:rsid w:val="003E68A6"/>
    <w:rsid w:val="003E6C93"/>
    <w:rsid w:val="003E7DC2"/>
    <w:rsid w:val="003F1AF9"/>
    <w:rsid w:val="003F24BB"/>
    <w:rsid w:val="003F6285"/>
    <w:rsid w:val="0040003F"/>
    <w:rsid w:val="0040043D"/>
    <w:rsid w:val="00400F9E"/>
    <w:rsid w:val="0040175F"/>
    <w:rsid w:val="004104BD"/>
    <w:rsid w:val="00411370"/>
    <w:rsid w:val="00412ABF"/>
    <w:rsid w:val="00412BB4"/>
    <w:rsid w:val="00413620"/>
    <w:rsid w:val="004156B2"/>
    <w:rsid w:val="00415F93"/>
    <w:rsid w:val="00416D1E"/>
    <w:rsid w:val="00421061"/>
    <w:rsid w:val="004220F8"/>
    <w:rsid w:val="00423B21"/>
    <w:rsid w:val="004262ED"/>
    <w:rsid w:val="004269E2"/>
    <w:rsid w:val="00426F55"/>
    <w:rsid w:val="00434119"/>
    <w:rsid w:val="0043438E"/>
    <w:rsid w:val="00434EC8"/>
    <w:rsid w:val="00435A3F"/>
    <w:rsid w:val="004416CA"/>
    <w:rsid w:val="00441FC2"/>
    <w:rsid w:val="0044485E"/>
    <w:rsid w:val="00445BFE"/>
    <w:rsid w:val="0044658F"/>
    <w:rsid w:val="00447DE1"/>
    <w:rsid w:val="0045412C"/>
    <w:rsid w:val="00460D75"/>
    <w:rsid w:val="00460F40"/>
    <w:rsid w:val="0046213B"/>
    <w:rsid w:val="004623FA"/>
    <w:rsid w:val="00462ACA"/>
    <w:rsid w:val="0046453E"/>
    <w:rsid w:val="00464B9C"/>
    <w:rsid w:val="00464F21"/>
    <w:rsid w:val="00465031"/>
    <w:rsid w:val="00465695"/>
    <w:rsid w:val="004662C3"/>
    <w:rsid w:val="0046686C"/>
    <w:rsid w:val="00471394"/>
    <w:rsid w:val="00473DEA"/>
    <w:rsid w:val="00475C9A"/>
    <w:rsid w:val="00476EF2"/>
    <w:rsid w:val="00481631"/>
    <w:rsid w:val="00481F45"/>
    <w:rsid w:val="00483BEE"/>
    <w:rsid w:val="00483DFA"/>
    <w:rsid w:val="0048464E"/>
    <w:rsid w:val="0048761A"/>
    <w:rsid w:val="0049055F"/>
    <w:rsid w:val="0049081E"/>
    <w:rsid w:val="004911D5"/>
    <w:rsid w:val="00491319"/>
    <w:rsid w:val="00492360"/>
    <w:rsid w:val="00494394"/>
    <w:rsid w:val="00495245"/>
    <w:rsid w:val="0049678E"/>
    <w:rsid w:val="00497C01"/>
    <w:rsid w:val="004A10CB"/>
    <w:rsid w:val="004A12F0"/>
    <w:rsid w:val="004A1573"/>
    <w:rsid w:val="004A1732"/>
    <w:rsid w:val="004A2DB5"/>
    <w:rsid w:val="004A30F3"/>
    <w:rsid w:val="004A3728"/>
    <w:rsid w:val="004A60B3"/>
    <w:rsid w:val="004A72C0"/>
    <w:rsid w:val="004A7D98"/>
    <w:rsid w:val="004B1A76"/>
    <w:rsid w:val="004B28BE"/>
    <w:rsid w:val="004C167A"/>
    <w:rsid w:val="004C3144"/>
    <w:rsid w:val="004C3752"/>
    <w:rsid w:val="004C3CDD"/>
    <w:rsid w:val="004C5F08"/>
    <w:rsid w:val="004C65DE"/>
    <w:rsid w:val="004C69AF"/>
    <w:rsid w:val="004C6B44"/>
    <w:rsid w:val="004C6BCE"/>
    <w:rsid w:val="004D0C75"/>
    <w:rsid w:val="004D11F3"/>
    <w:rsid w:val="004D1EA4"/>
    <w:rsid w:val="004D5723"/>
    <w:rsid w:val="004D651B"/>
    <w:rsid w:val="004E151C"/>
    <w:rsid w:val="004E15CC"/>
    <w:rsid w:val="004E454A"/>
    <w:rsid w:val="004F0773"/>
    <w:rsid w:val="004F0834"/>
    <w:rsid w:val="004F3F3F"/>
    <w:rsid w:val="004F42F5"/>
    <w:rsid w:val="004F565C"/>
    <w:rsid w:val="004F712D"/>
    <w:rsid w:val="004F7160"/>
    <w:rsid w:val="004F765C"/>
    <w:rsid w:val="00500E8F"/>
    <w:rsid w:val="00501582"/>
    <w:rsid w:val="00502163"/>
    <w:rsid w:val="0050678E"/>
    <w:rsid w:val="005113F0"/>
    <w:rsid w:val="00512DD4"/>
    <w:rsid w:val="00514C51"/>
    <w:rsid w:val="005166CE"/>
    <w:rsid w:val="00516E3D"/>
    <w:rsid w:val="00522631"/>
    <w:rsid w:val="00524C70"/>
    <w:rsid w:val="00525466"/>
    <w:rsid w:val="00525A33"/>
    <w:rsid w:val="005308A8"/>
    <w:rsid w:val="00530BF9"/>
    <w:rsid w:val="00532D87"/>
    <w:rsid w:val="00532F40"/>
    <w:rsid w:val="00533475"/>
    <w:rsid w:val="00534CB7"/>
    <w:rsid w:val="005376F2"/>
    <w:rsid w:val="00540D09"/>
    <w:rsid w:val="00544159"/>
    <w:rsid w:val="005454E8"/>
    <w:rsid w:val="005461B0"/>
    <w:rsid w:val="0054779C"/>
    <w:rsid w:val="00551DA7"/>
    <w:rsid w:val="0055347C"/>
    <w:rsid w:val="00553F4F"/>
    <w:rsid w:val="005555A8"/>
    <w:rsid w:val="005560DE"/>
    <w:rsid w:val="00556156"/>
    <w:rsid w:val="005621E7"/>
    <w:rsid w:val="00562441"/>
    <w:rsid w:val="005644D1"/>
    <w:rsid w:val="00566AB0"/>
    <w:rsid w:val="00566E12"/>
    <w:rsid w:val="00567AD5"/>
    <w:rsid w:val="0057056E"/>
    <w:rsid w:val="0057349E"/>
    <w:rsid w:val="00574F28"/>
    <w:rsid w:val="005825A0"/>
    <w:rsid w:val="00586237"/>
    <w:rsid w:val="00586687"/>
    <w:rsid w:val="005929BA"/>
    <w:rsid w:val="00594AA8"/>
    <w:rsid w:val="00595943"/>
    <w:rsid w:val="005A3B17"/>
    <w:rsid w:val="005A5439"/>
    <w:rsid w:val="005A5FCF"/>
    <w:rsid w:val="005A6163"/>
    <w:rsid w:val="005A695D"/>
    <w:rsid w:val="005A7DC7"/>
    <w:rsid w:val="005B1706"/>
    <w:rsid w:val="005B2469"/>
    <w:rsid w:val="005B30A4"/>
    <w:rsid w:val="005B48AB"/>
    <w:rsid w:val="005B6205"/>
    <w:rsid w:val="005B672A"/>
    <w:rsid w:val="005B69F7"/>
    <w:rsid w:val="005B7948"/>
    <w:rsid w:val="005C17E0"/>
    <w:rsid w:val="005C3E96"/>
    <w:rsid w:val="005C4B84"/>
    <w:rsid w:val="005C4FCA"/>
    <w:rsid w:val="005C723F"/>
    <w:rsid w:val="005C7DAB"/>
    <w:rsid w:val="005D00BF"/>
    <w:rsid w:val="005D0926"/>
    <w:rsid w:val="005D0CE4"/>
    <w:rsid w:val="005D1CD2"/>
    <w:rsid w:val="005D7788"/>
    <w:rsid w:val="005E334F"/>
    <w:rsid w:val="005E3A27"/>
    <w:rsid w:val="005E3EA5"/>
    <w:rsid w:val="005E5904"/>
    <w:rsid w:val="005E5B24"/>
    <w:rsid w:val="005E7803"/>
    <w:rsid w:val="005F0C8C"/>
    <w:rsid w:val="005F2AB0"/>
    <w:rsid w:val="005F4573"/>
    <w:rsid w:val="005F4C09"/>
    <w:rsid w:val="005F5B2B"/>
    <w:rsid w:val="005F74EE"/>
    <w:rsid w:val="005F75F0"/>
    <w:rsid w:val="006003EC"/>
    <w:rsid w:val="00602A0B"/>
    <w:rsid w:val="00603A98"/>
    <w:rsid w:val="00603D79"/>
    <w:rsid w:val="006043DA"/>
    <w:rsid w:val="00613200"/>
    <w:rsid w:val="006141C5"/>
    <w:rsid w:val="0061464E"/>
    <w:rsid w:val="006163F9"/>
    <w:rsid w:val="00622CD0"/>
    <w:rsid w:val="006248AA"/>
    <w:rsid w:val="0062512C"/>
    <w:rsid w:val="00627762"/>
    <w:rsid w:val="006302FA"/>
    <w:rsid w:val="00630ADE"/>
    <w:rsid w:val="00631962"/>
    <w:rsid w:val="00631C86"/>
    <w:rsid w:val="006322C0"/>
    <w:rsid w:val="00634FC7"/>
    <w:rsid w:val="006352B0"/>
    <w:rsid w:val="0063548F"/>
    <w:rsid w:val="00642CEE"/>
    <w:rsid w:val="00646589"/>
    <w:rsid w:val="00646CAA"/>
    <w:rsid w:val="00647A94"/>
    <w:rsid w:val="00647DE3"/>
    <w:rsid w:val="00650B53"/>
    <w:rsid w:val="00651D87"/>
    <w:rsid w:val="00652091"/>
    <w:rsid w:val="00652591"/>
    <w:rsid w:val="00652810"/>
    <w:rsid w:val="006544BE"/>
    <w:rsid w:val="006560FD"/>
    <w:rsid w:val="006619F4"/>
    <w:rsid w:val="00662606"/>
    <w:rsid w:val="0066731B"/>
    <w:rsid w:val="006700B5"/>
    <w:rsid w:val="00670A44"/>
    <w:rsid w:val="0067257F"/>
    <w:rsid w:val="0067339F"/>
    <w:rsid w:val="00674310"/>
    <w:rsid w:val="00674FD3"/>
    <w:rsid w:val="00675A8C"/>
    <w:rsid w:val="00676B36"/>
    <w:rsid w:val="0067773C"/>
    <w:rsid w:val="00680017"/>
    <w:rsid w:val="006802E2"/>
    <w:rsid w:val="00680FE0"/>
    <w:rsid w:val="006811F1"/>
    <w:rsid w:val="00682B6E"/>
    <w:rsid w:val="0068447B"/>
    <w:rsid w:val="0068510B"/>
    <w:rsid w:val="006852BE"/>
    <w:rsid w:val="00693F43"/>
    <w:rsid w:val="0069522B"/>
    <w:rsid w:val="0069583A"/>
    <w:rsid w:val="00697F00"/>
    <w:rsid w:val="006A01BC"/>
    <w:rsid w:val="006A0385"/>
    <w:rsid w:val="006A0B30"/>
    <w:rsid w:val="006A1CC3"/>
    <w:rsid w:val="006A3FDA"/>
    <w:rsid w:val="006A498E"/>
    <w:rsid w:val="006A518F"/>
    <w:rsid w:val="006A6839"/>
    <w:rsid w:val="006A7398"/>
    <w:rsid w:val="006B2467"/>
    <w:rsid w:val="006B44C7"/>
    <w:rsid w:val="006B487F"/>
    <w:rsid w:val="006B5705"/>
    <w:rsid w:val="006B69F6"/>
    <w:rsid w:val="006B6D5E"/>
    <w:rsid w:val="006C1B84"/>
    <w:rsid w:val="006C2E64"/>
    <w:rsid w:val="006C4705"/>
    <w:rsid w:val="006C5046"/>
    <w:rsid w:val="006C554A"/>
    <w:rsid w:val="006C57EA"/>
    <w:rsid w:val="006D2914"/>
    <w:rsid w:val="006D3850"/>
    <w:rsid w:val="006D3F4B"/>
    <w:rsid w:val="006D3F63"/>
    <w:rsid w:val="006D4ABE"/>
    <w:rsid w:val="006D539B"/>
    <w:rsid w:val="006D5A89"/>
    <w:rsid w:val="006D6A42"/>
    <w:rsid w:val="006D717A"/>
    <w:rsid w:val="006E0F62"/>
    <w:rsid w:val="006E1608"/>
    <w:rsid w:val="006E1635"/>
    <w:rsid w:val="006E22BE"/>
    <w:rsid w:val="006E2652"/>
    <w:rsid w:val="006E2868"/>
    <w:rsid w:val="006E2BAE"/>
    <w:rsid w:val="006E3A4F"/>
    <w:rsid w:val="006E482B"/>
    <w:rsid w:val="006E666A"/>
    <w:rsid w:val="006F0F9F"/>
    <w:rsid w:val="006F1E7A"/>
    <w:rsid w:val="006F53B7"/>
    <w:rsid w:val="006F6A39"/>
    <w:rsid w:val="00701CBA"/>
    <w:rsid w:val="0070251F"/>
    <w:rsid w:val="00702EA7"/>
    <w:rsid w:val="0070561B"/>
    <w:rsid w:val="00705D7C"/>
    <w:rsid w:val="00705DFE"/>
    <w:rsid w:val="00706215"/>
    <w:rsid w:val="00706647"/>
    <w:rsid w:val="007112EC"/>
    <w:rsid w:val="0071130C"/>
    <w:rsid w:val="0071289F"/>
    <w:rsid w:val="007159FA"/>
    <w:rsid w:val="00720C4A"/>
    <w:rsid w:val="00721B84"/>
    <w:rsid w:val="007233BB"/>
    <w:rsid w:val="007238C2"/>
    <w:rsid w:val="00726113"/>
    <w:rsid w:val="00726734"/>
    <w:rsid w:val="007273E7"/>
    <w:rsid w:val="00731C1E"/>
    <w:rsid w:val="007320F6"/>
    <w:rsid w:val="00734CF8"/>
    <w:rsid w:val="00734F33"/>
    <w:rsid w:val="00735898"/>
    <w:rsid w:val="007376A8"/>
    <w:rsid w:val="0073771C"/>
    <w:rsid w:val="00740DFE"/>
    <w:rsid w:val="00740E70"/>
    <w:rsid w:val="00743587"/>
    <w:rsid w:val="00744A27"/>
    <w:rsid w:val="00750E77"/>
    <w:rsid w:val="00750FC0"/>
    <w:rsid w:val="00751AB5"/>
    <w:rsid w:val="00751CAE"/>
    <w:rsid w:val="007526EB"/>
    <w:rsid w:val="00752DF0"/>
    <w:rsid w:val="00753508"/>
    <w:rsid w:val="007540E2"/>
    <w:rsid w:val="00754DF8"/>
    <w:rsid w:val="00756DE6"/>
    <w:rsid w:val="00757872"/>
    <w:rsid w:val="007578F3"/>
    <w:rsid w:val="007603F3"/>
    <w:rsid w:val="007604F5"/>
    <w:rsid w:val="00760EC4"/>
    <w:rsid w:val="00761ADE"/>
    <w:rsid w:val="007646DC"/>
    <w:rsid w:val="00764769"/>
    <w:rsid w:val="00765610"/>
    <w:rsid w:val="007664A4"/>
    <w:rsid w:val="007703EE"/>
    <w:rsid w:val="00771A17"/>
    <w:rsid w:val="00775EB0"/>
    <w:rsid w:val="007762D6"/>
    <w:rsid w:val="007766B5"/>
    <w:rsid w:val="007802F4"/>
    <w:rsid w:val="0078126F"/>
    <w:rsid w:val="007822BA"/>
    <w:rsid w:val="007834B1"/>
    <w:rsid w:val="007907E5"/>
    <w:rsid w:val="00791D4A"/>
    <w:rsid w:val="00792DE4"/>
    <w:rsid w:val="00793A2B"/>
    <w:rsid w:val="00793EA7"/>
    <w:rsid w:val="0079468A"/>
    <w:rsid w:val="00795393"/>
    <w:rsid w:val="00795E7C"/>
    <w:rsid w:val="00796C2B"/>
    <w:rsid w:val="007A1B2E"/>
    <w:rsid w:val="007A2023"/>
    <w:rsid w:val="007A276E"/>
    <w:rsid w:val="007A38A6"/>
    <w:rsid w:val="007A58AC"/>
    <w:rsid w:val="007A5904"/>
    <w:rsid w:val="007A5941"/>
    <w:rsid w:val="007A6290"/>
    <w:rsid w:val="007A6C06"/>
    <w:rsid w:val="007B0F46"/>
    <w:rsid w:val="007B356A"/>
    <w:rsid w:val="007B3F11"/>
    <w:rsid w:val="007B41A7"/>
    <w:rsid w:val="007B6032"/>
    <w:rsid w:val="007B696A"/>
    <w:rsid w:val="007B7AF0"/>
    <w:rsid w:val="007C0052"/>
    <w:rsid w:val="007C0329"/>
    <w:rsid w:val="007C0FFE"/>
    <w:rsid w:val="007C2467"/>
    <w:rsid w:val="007C412A"/>
    <w:rsid w:val="007C49AF"/>
    <w:rsid w:val="007C75EC"/>
    <w:rsid w:val="007D1366"/>
    <w:rsid w:val="007D1E9E"/>
    <w:rsid w:val="007D3C72"/>
    <w:rsid w:val="007D3EEF"/>
    <w:rsid w:val="007D4CE1"/>
    <w:rsid w:val="007D5840"/>
    <w:rsid w:val="007E1C8C"/>
    <w:rsid w:val="007E1FD8"/>
    <w:rsid w:val="007E320D"/>
    <w:rsid w:val="007E3539"/>
    <w:rsid w:val="007E357E"/>
    <w:rsid w:val="007E53E3"/>
    <w:rsid w:val="007E70DF"/>
    <w:rsid w:val="007E7AB7"/>
    <w:rsid w:val="007E7ACF"/>
    <w:rsid w:val="007F086A"/>
    <w:rsid w:val="007F1278"/>
    <w:rsid w:val="007F1DCA"/>
    <w:rsid w:val="007F3145"/>
    <w:rsid w:val="007F416F"/>
    <w:rsid w:val="007F6339"/>
    <w:rsid w:val="00800DCC"/>
    <w:rsid w:val="00800E55"/>
    <w:rsid w:val="0080125E"/>
    <w:rsid w:val="00802491"/>
    <w:rsid w:val="008026D5"/>
    <w:rsid w:val="00802AEA"/>
    <w:rsid w:val="00803FD3"/>
    <w:rsid w:val="008040A0"/>
    <w:rsid w:val="00804AF2"/>
    <w:rsid w:val="00804DEE"/>
    <w:rsid w:val="00805C7E"/>
    <w:rsid w:val="008067F1"/>
    <w:rsid w:val="00807013"/>
    <w:rsid w:val="00810553"/>
    <w:rsid w:val="008125A5"/>
    <w:rsid w:val="00812BDA"/>
    <w:rsid w:val="00813655"/>
    <w:rsid w:val="00816AD9"/>
    <w:rsid w:val="00817907"/>
    <w:rsid w:val="008207E4"/>
    <w:rsid w:val="008217B9"/>
    <w:rsid w:val="008217F2"/>
    <w:rsid w:val="00821DE9"/>
    <w:rsid w:val="00822CAE"/>
    <w:rsid w:val="008251DB"/>
    <w:rsid w:val="008259B5"/>
    <w:rsid w:val="00825F5B"/>
    <w:rsid w:val="0082643E"/>
    <w:rsid w:val="008300F3"/>
    <w:rsid w:val="008312A0"/>
    <w:rsid w:val="00831705"/>
    <w:rsid w:val="0084207F"/>
    <w:rsid w:val="00842852"/>
    <w:rsid w:val="0084420A"/>
    <w:rsid w:val="0085348A"/>
    <w:rsid w:val="00853C8E"/>
    <w:rsid w:val="00854695"/>
    <w:rsid w:val="008602FD"/>
    <w:rsid w:val="0086119E"/>
    <w:rsid w:val="00861244"/>
    <w:rsid w:val="00863328"/>
    <w:rsid w:val="008636F4"/>
    <w:rsid w:val="00864BE8"/>
    <w:rsid w:val="00864E1D"/>
    <w:rsid w:val="0086615B"/>
    <w:rsid w:val="00867D10"/>
    <w:rsid w:val="00870540"/>
    <w:rsid w:val="00872888"/>
    <w:rsid w:val="00872EB1"/>
    <w:rsid w:val="00874E70"/>
    <w:rsid w:val="00875983"/>
    <w:rsid w:val="00876D71"/>
    <w:rsid w:val="00877D37"/>
    <w:rsid w:val="00884643"/>
    <w:rsid w:val="00885C7C"/>
    <w:rsid w:val="00887631"/>
    <w:rsid w:val="00890069"/>
    <w:rsid w:val="00892153"/>
    <w:rsid w:val="00892C88"/>
    <w:rsid w:val="00893C81"/>
    <w:rsid w:val="00893C86"/>
    <w:rsid w:val="00894EFB"/>
    <w:rsid w:val="008A1301"/>
    <w:rsid w:val="008A1D50"/>
    <w:rsid w:val="008A301B"/>
    <w:rsid w:val="008A4620"/>
    <w:rsid w:val="008A4EE6"/>
    <w:rsid w:val="008A5832"/>
    <w:rsid w:val="008A5D74"/>
    <w:rsid w:val="008A6154"/>
    <w:rsid w:val="008A6C49"/>
    <w:rsid w:val="008A738C"/>
    <w:rsid w:val="008A7F24"/>
    <w:rsid w:val="008B1BB3"/>
    <w:rsid w:val="008B46AE"/>
    <w:rsid w:val="008B4FF3"/>
    <w:rsid w:val="008B7071"/>
    <w:rsid w:val="008B7CE5"/>
    <w:rsid w:val="008C0557"/>
    <w:rsid w:val="008C16B6"/>
    <w:rsid w:val="008C44F1"/>
    <w:rsid w:val="008C55A0"/>
    <w:rsid w:val="008C5F24"/>
    <w:rsid w:val="008D057E"/>
    <w:rsid w:val="008D1BBA"/>
    <w:rsid w:val="008D3EF9"/>
    <w:rsid w:val="008D5616"/>
    <w:rsid w:val="008D5F43"/>
    <w:rsid w:val="008D611E"/>
    <w:rsid w:val="008E130B"/>
    <w:rsid w:val="008E13B3"/>
    <w:rsid w:val="008E1842"/>
    <w:rsid w:val="008E234B"/>
    <w:rsid w:val="008E24D9"/>
    <w:rsid w:val="008E62C5"/>
    <w:rsid w:val="008E688F"/>
    <w:rsid w:val="008F02C4"/>
    <w:rsid w:val="008F09C9"/>
    <w:rsid w:val="008F2B35"/>
    <w:rsid w:val="008F4FA9"/>
    <w:rsid w:val="008F7AB9"/>
    <w:rsid w:val="00900D48"/>
    <w:rsid w:val="00900F75"/>
    <w:rsid w:val="0090201A"/>
    <w:rsid w:val="00904086"/>
    <w:rsid w:val="00904DB2"/>
    <w:rsid w:val="00907190"/>
    <w:rsid w:val="00907C8E"/>
    <w:rsid w:val="009103A9"/>
    <w:rsid w:val="00911DC9"/>
    <w:rsid w:val="00911DF6"/>
    <w:rsid w:val="00915B25"/>
    <w:rsid w:val="00922591"/>
    <w:rsid w:val="00924F2F"/>
    <w:rsid w:val="009258C1"/>
    <w:rsid w:val="009314BD"/>
    <w:rsid w:val="00931600"/>
    <w:rsid w:val="00931C51"/>
    <w:rsid w:val="00932FD8"/>
    <w:rsid w:val="0093368E"/>
    <w:rsid w:val="00937F81"/>
    <w:rsid w:val="00942F5D"/>
    <w:rsid w:val="0094306B"/>
    <w:rsid w:val="00943A1D"/>
    <w:rsid w:val="00943BEC"/>
    <w:rsid w:val="00944F6B"/>
    <w:rsid w:val="00945BAC"/>
    <w:rsid w:val="009468DB"/>
    <w:rsid w:val="00946D85"/>
    <w:rsid w:val="0094702F"/>
    <w:rsid w:val="009507DE"/>
    <w:rsid w:val="009509DE"/>
    <w:rsid w:val="0095121B"/>
    <w:rsid w:val="00951649"/>
    <w:rsid w:val="00952361"/>
    <w:rsid w:val="0095346F"/>
    <w:rsid w:val="00954AA8"/>
    <w:rsid w:val="00954BE8"/>
    <w:rsid w:val="00957008"/>
    <w:rsid w:val="00957CE3"/>
    <w:rsid w:val="0096010B"/>
    <w:rsid w:val="009601CA"/>
    <w:rsid w:val="00963611"/>
    <w:rsid w:val="00964C47"/>
    <w:rsid w:val="00971FF1"/>
    <w:rsid w:val="00973CC9"/>
    <w:rsid w:val="00974546"/>
    <w:rsid w:val="00975541"/>
    <w:rsid w:val="00976455"/>
    <w:rsid w:val="009767F9"/>
    <w:rsid w:val="00977A4E"/>
    <w:rsid w:val="00981C5D"/>
    <w:rsid w:val="00983637"/>
    <w:rsid w:val="0098786C"/>
    <w:rsid w:val="00987940"/>
    <w:rsid w:val="00987B1A"/>
    <w:rsid w:val="00987D92"/>
    <w:rsid w:val="009902D1"/>
    <w:rsid w:val="0099503F"/>
    <w:rsid w:val="009979A1"/>
    <w:rsid w:val="009A048A"/>
    <w:rsid w:val="009A106C"/>
    <w:rsid w:val="009A11FC"/>
    <w:rsid w:val="009A1C3E"/>
    <w:rsid w:val="009A285A"/>
    <w:rsid w:val="009A49E5"/>
    <w:rsid w:val="009A56EB"/>
    <w:rsid w:val="009A5B51"/>
    <w:rsid w:val="009B0D83"/>
    <w:rsid w:val="009B1E77"/>
    <w:rsid w:val="009B2070"/>
    <w:rsid w:val="009B35D3"/>
    <w:rsid w:val="009B3607"/>
    <w:rsid w:val="009B50DF"/>
    <w:rsid w:val="009B6EED"/>
    <w:rsid w:val="009B7478"/>
    <w:rsid w:val="009B7AED"/>
    <w:rsid w:val="009B7C34"/>
    <w:rsid w:val="009C0DC3"/>
    <w:rsid w:val="009C1CE8"/>
    <w:rsid w:val="009C47B9"/>
    <w:rsid w:val="009C525F"/>
    <w:rsid w:val="009C7D45"/>
    <w:rsid w:val="009D1D07"/>
    <w:rsid w:val="009D26CB"/>
    <w:rsid w:val="009D2BE6"/>
    <w:rsid w:val="009D35CB"/>
    <w:rsid w:val="009D3DED"/>
    <w:rsid w:val="009D51AB"/>
    <w:rsid w:val="009D6931"/>
    <w:rsid w:val="009D7B4C"/>
    <w:rsid w:val="009D7DDF"/>
    <w:rsid w:val="009E5E86"/>
    <w:rsid w:val="009E662A"/>
    <w:rsid w:val="009E6D0C"/>
    <w:rsid w:val="009E7F30"/>
    <w:rsid w:val="009F1E8B"/>
    <w:rsid w:val="009F2D55"/>
    <w:rsid w:val="009F4018"/>
    <w:rsid w:val="009F5BF9"/>
    <w:rsid w:val="00A000CE"/>
    <w:rsid w:val="00A00772"/>
    <w:rsid w:val="00A00AF2"/>
    <w:rsid w:val="00A01461"/>
    <w:rsid w:val="00A0587B"/>
    <w:rsid w:val="00A05A2E"/>
    <w:rsid w:val="00A0788D"/>
    <w:rsid w:val="00A07977"/>
    <w:rsid w:val="00A1001A"/>
    <w:rsid w:val="00A13F79"/>
    <w:rsid w:val="00A13F91"/>
    <w:rsid w:val="00A15731"/>
    <w:rsid w:val="00A16B18"/>
    <w:rsid w:val="00A1737F"/>
    <w:rsid w:val="00A17690"/>
    <w:rsid w:val="00A22284"/>
    <w:rsid w:val="00A23048"/>
    <w:rsid w:val="00A25525"/>
    <w:rsid w:val="00A25766"/>
    <w:rsid w:val="00A25784"/>
    <w:rsid w:val="00A25818"/>
    <w:rsid w:val="00A25AE1"/>
    <w:rsid w:val="00A26993"/>
    <w:rsid w:val="00A274E0"/>
    <w:rsid w:val="00A274FA"/>
    <w:rsid w:val="00A31254"/>
    <w:rsid w:val="00A314F0"/>
    <w:rsid w:val="00A32926"/>
    <w:rsid w:val="00A333BA"/>
    <w:rsid w:val="00A338E9"/>
    <w:rsid w:val="00A34463"/>
    <w:rsid w:val="00A34A53"/>
    <w:rsid w:val="00A35825"/>
    <w:rsid w:val="00A3675B"/>
    <w:rsid w:val="00A37FD5"/>
    <w:rsid w:val="00A403DB"/>
    <w:rsid w:val="00A42C0A"/>
    <w:rsid w:val="00A434DE"/>
    <w:rsid w:val="00A4470E"/>
    <w:rsid w:val="00A53A42"/>
    <w:rsid w:val="00A54B51"/>
    <w:rsid w:val="00A56D96"/>
    <w:rsid w:val="00A57A69"/>
    <w:rsid w:val="00A61545"/>
    <w:rsid w:val="00A67983"/>
    <w:rsid w:val="00A7006D"/>
    <w:rsid w:val="00A70102"/>
    <w:rsid w:val="00A707C5"/>
    <w:rsid w:val="00A71234"/>
    <w:rsid w:val="00A71878"/>
    <w:rsid w:val="00A71C60"/>
    <w:rsid w:val="00A72E26"/>
    <w:rsid w:val="00A75241"/>
    <w:rsid w:val="00A7674A"/>
    <w:rsid w:val="00A7765D"/>
    <w:rsid w:val="00A801BE"/>
    <w:rsid w:val="00A841A1"/>
    <w:rsid w:val="00A8628D"/>
    <w:rsid w:val="00A86E7E"/>
    <w:rsid w:val="00A8799A"/>
    <w:rsid w:val="00A90357"/>
    <w:rsid w:val="00A90608"/>
    <w:rsid w:val="00A91C75"/>
    <w:rsid w:val="00A92B4C"/>
    <w:rsid w:val="00A93178"/>
    <w:rsid w:val="00A9508F"/>
    <w:rsid w:val="00A97F14"/>
    <w:rsid w:val="00AA22A9"/>
    <w:rsid w:val="00AA2FCA"/>
    <w:rsid w:val="00AA4F0F"/>
    <w:rsid w:val="00AA5B22"/>
    <w:rsid w:val="00AA6496"/>
    <w:rsid w:val="00AA7B35"/>
    <w:rsid w:val="00AB00CF"/>
    <w:rsid w:val="00AB0212"/>
    <w:rsid w:val="00AB0547"/>
    <w:rsid w:val="00AB1221"/>
    <w:rsid w:val="00AB18EC"/>
    <w:rsid w:val="00AB30CD"/>
    <w:rsid w:val="00AB3D6B"/>
    <w:rsid w:val="00AB4883"/>
    <w:rsid w:val="00AB58DC"/>
    <w:rsid w:val="00AB6659"/>
    <w:rsid w:val="00AC1267"/>
    <w:rsid w:val="00AC3229"/>
    <w:rsid w:val="00AC4F60"/>
    <w:rsid w:val="00AC6137"/>
    <w:rsid w:val="00AD1054"/>
    <w:rsid w:val="00AD13E8"/>
    <w:rsid w:val="00AD1586"/>
    <w:rsid w:val="00AD1D7B"/>
    <w:rsid w:val="00AD2670"/>
    <w:rsid w:val="00AD3D96"/>
    <w:rsid w:val="00AD3EC9"/>
    <w:rsid w:val="00AD45E6"/>
    <w:rsid w:val="00AD6E30"/>
    <w:rsid w:val="00AE4628"/>
    <w:rsid w:val="00AE4BC2"/>
    <w:rsid w:val="00AE6324"/>
    <w:rsid w:val="00AE6726"/>
    <w:rsid w:val="00AE6D40"/>
    <w:rsid w:val="00AF1480"/>
    <w:rsid w:val="00AF2B96"/>
    <w:rsid w:val="00AF4AA9"/>
    <w:rsid w:val="00AF51B0"/>
    <w:rsid w:val="00AF5A20"/>
    <w:rsid w:val="00AF7BF5"/>
    <w:rsid w:val="00AF7FD3"/>
    <w:rsid w:val="00B00C82"/>
    <w:rsid w:val="00B01C62"/>
    <w:rsid w:val="00B01FAC"/>
    <w:rsid w:val="00B02088"/>
    <w:rsid w:val="00B034F8"/>
    <w:rsid w:val="00B05BBB"/>
    <w:rsid w:val="00B073D7"/>
    <w:rsid w:val="00B078C7"/>
    <w:rsid w:val="00B07B2C"/>
    <w:rsid w:val="00B07F2C"/>
    <w:rsid w:val="00B1056D"/>
    <w:rsid w:val="00B10B22"/>
    <w:rsid w:val="00B10CF7"/>
    <w:rsid w:val="00B112C2"/>
    <w:rsid w:val="00B11F5C"/>
    <w:rsid w:val="00B13DFD"/>
    <w:rsid w:val="00B14377"/>
    <w:rsid w:val="00B16BB9"/>
    <w:rsid w:val="00B17E9F"/>
    <w:rsid w:val="00B20895"/>
    <w:rsid w:val="00B23B7A"/>
    <w:rsid w:val="00B323D3"/>
    <w:rsid w:val="00B33CEC"/>
    <w:rsid w:val="00B34728"/>
    <w:rsid w:val="00B36CE4"/>
    <w:rsid w:val="00B409F1"/>
    <w:rsid w:val="00B41896"/>
    <w:rsid w:val="00B41EFB"/>
    <w:rsid w:val="00B43F28"/>
    <w:rsid w:val="00B440FB"/>
    <w:rsid w:val="00B4706C"/>
    <w:rsid w:val="00B50274"/>
    <w:rsid w:val="00B5035B"/>
    <w:rsid w:val="00B51EF0"/>
    <w:rsid w:val="00B53188"/>
    <w:rsid w:val="00B54DF8"/>
    <w:rsid w:val="00B55930"/>
    <w:rsid w:val="00B57647"/>
    <w:rsid w:val="00B6004F"/>
    <w:rsid w:val="00B60611"/>
    <w:rsid w:val="00B60681"/>
    <w:rsid w:val="00B611CC"/>
    <w:rsid w:val="00B61361"/>
    <w:rsid w:val="00B62474"/>
    <w:rsid w:val="00B64906"/>
    <w:rsid w:val="00B64CAF"/>
    <w:rsid w:val="00B706E3"/>
    <w:rsid w:val="00B71E49"/>
    <w:rsid w:val="00B7311F"/>
    <w:rsid w:val="00B7530E"/>
    <w:rsid w:val="00B75B24"/>
    <w:rsid w:val="00B85E7D"/>
    <w:rsid w:val="00B86671"/>
    <w:rsid w:val="00B8750D"/>
    <w:rsid w:val="00B91F1D"/>
    <w:rsid w:val="00B9466E"/>
    <w:rsid w:val="00B960E6"/>
    <w:rsid w:val="00B96576"/>
    <w:rsid w:val="00B97C77"/>
    <w:rsid w:val="00BA1728"/>
    <w:rsid w:val="00BA2FE5"/>
    <w:rsid w:val="00BA348E"/>
    <w:rsid w:val="00BA373C"/>
    <w:rsid w:val="00BA3AF8"/>
    <w:rsid w:val="00BA48DD"/>
    <w:rsid w:val="00BA5740"/>
    <w:rsid w:val="00BA5DA3"/>
    <w:rsid w:val="00BA7CCA"/>
    <w:rsid w:val="00BB00A6"/>
    <w:rsid w:val="00BB0187"/>
    <w:rsid w:val="00BB0FC9"/>
    <w:rsid w:val="00BB3BBF"/>
    <w:rsid w:val="00BB4758"/>
    <w:rsid w:val="00BB686F"/>
    <w:rsid w:val="00BB6F4A"/>
    <w:rsid w:val="00BC2091"/>
    <w:rsid w:val="00BC23E6"/>
    <w:rsid w:val="00BC3FF6"/>
    <w:rsid w:val="00BC4ECF"/>
    <w:rsid w:val="00BC5B25"/>
    <w:rsid w:val="00BC6D8C"/>
    <w:rsid w:val="00BC7622"/>
    <w:rsid w:val="00BC7942"/>
    <w:rsid w:val="00BD0323"/>
    <w:rsid w:val="00BD0C6B"/>
    <w:rsid w:val="00BD150C"/>
    <w:rsid w:val="00BD1DD3"/>
    <w:rsid w:val="00BD31B6"/>
    <w:rsid w:val="00BD3CCB"/>
    <w:rsid w:val="00BD5590"/>
    <w:rsid w:val="00BE07EF"/>
    <w:rsid w:val="00BE226E"/>
    <w:rsid w:val="00BE4AB2"/>
    <w:rsid w:val="00BE5D69"/>
    <w:rsid w:val="00BF020A"/>
    <w:rsid w:val="00BF1755"/>
    <w:rsid w:val="00BF19D9"/>
    <w:rsid w:val="00BF2344"/>
    <w:rsid w:val="00BF4372"/>
    <w:rsid w:val="00BF7180"/>
    <w:rsid w:val="00C02455"/>
    <w:rsid w:val="00C04D90"/>
    <w:rsid w:val="00C04FA2"/>
    <w:rsid w:val="00C05459"/>
    <w:rsid w:val="00C055A8"/>
    <w:rsid w:val="00C05870"/>
    <w:rsid w:val="00C06B5A"/>
    <w:rsid w:val="00C06F1B"/>
    <w:rsid w:val="00C070D8"/>
    <w:rsid w:val="00C079F4"/>
    <w:rsid w:val="00C10084"/>
    <w:rsid w:val="00C117A9"/>
    <w:rsid w:val="00C13200"/>
    <w:rsid w:val="00C13596"/>
    <w:rsid w:val="00C14EA2"/>
    <w:rsid w:val="00C22E86"/>
    <w:rsid w:val="00C23C2E"/>
    <w:rsid w:val="00C24F4E"/>
    <w:rsid w:val="00C255F7"/>
    <w:rsid w:val="00C261E2"/>
    <w:rsid w:val="00C2679A"/>
    <w:rsid w:val="00C30768"/>
    <w:rsid w:val="00C31AFD"/>
    <w:rsid w:val="00C321E0"/>
    <w:rsid w:val="00C372E9"/>
    <w:rsid w:val="00C378FC"/>
    <w:rsid w:val="00C439F8"/>
    <w:rsid w:val="00C448CA"/>
    <w:rsid w:val="00C467D9"/>
    <w:rsid w:val="00C473A4"/>
    <w:rsid w:val="00C50DAD"/>
    <w:rsid w:val="00C51849"/>
    <w:rsid w:val="00C51D3F"/>
    <w:rsid w:val="00C51D99"/>
    <w:rsid w:val="00C536C5"/>
    <w:rsid w:val="00C5443C"/>
    <w:rsid w:val="00C5754C"/>
    <w:rsid w:val="00C602F4"/>
    <w:rsid w:val="00C61B35"/>
    <w:rsid w:val="00C66237"/>
    <w:rsid w:val="00C67347"/>
    <w:rsid w:val="00C701BB"/>
    <w:rsid w:val="00C72A34"/>
    <w:rsid w:val="00C72EEA"/>
    <w:rsid w:val="00C76176"/>
    <w:rsid w:val="00C76EA2"/>
    <w:rsid w:val="00C81BEF"/>
    <w:rsid w:val="00C833F9"/>
    <w:rsid w:val="00C842B7"/>
    <w:rsid w:val="00C844D5"/>
    <w:rsid w:val="00C85803"/>
    <w:rsid w:val="00C90EB5"/>
    <w:rsid w:val="00C93335"/>
    <w:rsid w:val="00C936E8"/>
    <w:rsid w:val="00C952A0"/>
    <w:rsid w:val="00CA074A"/>
    <w:rsid w:val="00CA1813"/>
    <w:rsid w:val="00CA2A49"/>
    <w:rsid w:val="00CA5E70"/>
    <w:rsid w:val="00CA7F7A"/>
    <w:rsid w:val="00CB0400"/>
    <w:rsid w:val="00CB1A98"/>
    <w:rsid w:val="00CB44CC"/>
    <w:rsid w:val="00CB63BD"/>
    <w:rsid w:val="00CB7A59"/>
    <w:rsid w:val="00CC1261"/>
    <w:rsid w:val="00CC182E"/>
    <w:rsid w:val="00CC1E27"/>
    <w:rsid w:val="00CC3103"/>
    <w:rsid w:val="00CC3B91"/>
    <w:rsid w:val="00CC5F50"/>
    <w:rsid w:val="00CC6E09"/>
    <w:rsid w:val="00CD26B6"/>
    <w:rsid w:val="00CD4B84"/>
    <w:rsid w:val="00CD6E2B"/>
    <w:rsid w:val="00CE00A3"/>
    <w:rsid w:val="00CE048A"/>
    <w:rsid w:val="00CE0BE1"/>
    <w:rsid w:val="00CE34F4"/>
    <w:rsid w:val="00CE3E16"/>
    <w:rsid w:val="00CE5A21"/>
    <w:rsid w:val="00CE6182"/>
    <w:rsid w:val="00CE6A28"/>
    <w:rsid w:val="00CE768F"/>
    <w:rsid w:val="00CE7CF5"/>
    <w:rsid w:val="00CF443B"/>
    <w:rsid w:val="00CF79BC"/>
    <w:rsid w:val="00CF7A36"/>
    <w:rsid w:val="00D00ADA"/>
    <w:rsid w:val="00D00B88"/>
    <w:rsid w:val="00D01FDB"/>
    <w:rsid w:val="00D03C17"/>
    <w:rsid w:val="00D04E81"/>
    <w:rsid w:val="00D050C0"/>
    <w:rsid w:val="00D06387"/>
    <w:rsid w:val="00D07C15"/>
    <w:rsid w:val="00D12021"/>
    <w:rsid w:val="00D1448A"/>
    <w:rsid w:val="00D1756C"/>
    <w:rsid w:val="00D17631"/>
    <w:rsid w:val="00D178EE"/>
    <w:rsid w:val="00D259F5"/>
    <w:rsid w:val="00D3389F"/>
    <w:rsid w:val="00D34989"/>
    <w:rsid w:val="00D34C78"/>
    <w:rsid w:val="00D358D0"/>
    <w:rsid w:val="00D36336"/>
    <w:rsid w:val="00D3634F"/>
    <w:rsid w:val="00D40016"/>
    <w:rsid w:val="00D41CAA"/>
    <w:rsid w:val="00D43B17"/>
    <w:rsid w:val="00D44F56"/>
    <w:rsid w:val="00D450FA"/>
    <w:rsid w:val="00D45A5B"/>
    <w:rsid w:val="00D46130"/>
    <w:rsid w:val="00D46C5B"/>
    <w:rsid w:val="00D51D9D"/>
    <w:rsid w:val="00D5210E"/>
    <w:rsid w:val="00D529BD"/>
    <w:rsid w:val="00D54438"/>
    <w:rsid w:val="00D57109"/>
    <w:rsid w:val="00D57E8A"/>
    <w:rsid w:val="00D6051D"/>
    <w:rsid w:val="00D610C5"/>
    <w:rsid w:val="00D61AE4"/>
    <w:rsid w:val="00D61E74"/>
    <w:rsid w:val="00D633B6"/>
    <w:rsid w:val="00D63DC5"/>
    <w:rsid w:val="00D64CB3"/>
    <w:rsid w:val="00D64D77"/>
    <w:rsid w:val="00D6632C"/>
    <w:rsid w:val="00D679EE"/>
    <w:rsid w:val="00D7222E"/>
    <w:rsid w:val="00D726DF"/>
    <w:rsid w:val="00D72CDE"/>
    <w:rsid w:val="00D737C5"/>
    <w:rsid w:val="00D7472F"/>
    <w:rsid w:val="00D75AB9"/>
    <w:rsid w:val="00D75E08"/>
    <w:rsid w:val="00D7797F"/>
    <w:rsid w:val="00D8039C"/>
    <w:rsid w:val="00D804C3"/>
    <w:rsid w:val="00D815B4"/>
    <w:rsid w:val="00D850DF"/>
    <w:rsid w:val="00D9193D"/>
    <w:rsid w:val="00D93A09"/>
    <w:rsid w:val="00D9405D"/>
    <w:rsid w:val="00D95564"/>
    <w:rsid w:val="00D9681B"/>
    <w:rsid w:val="00D96991"/>
    <w:rsid w:val="00D97057"/>
    <w:rsid w:val="00DA0E8D"/>
    <w:rsid w:val="00DA0F8A"/>
    <w:rsid w:val="00DA1438"/>
    <w:rsid w:val="00DA25A1"/>
    <w:rsid w:val="00DA4F2C"/>
    <w:rsid w:val="00DA5253"/>
    <w:rsid w:val="00DA6303"/>
    <w:rsid w:val="00DA6A7C"/>
    <w:rsid w:val="00DB0665"/>
    <w:rsid w:val="00DB215E"/>
    <w:rsid w:val="00DB6C7B"/>
    <w:rsid w:val="00DB7EDB"/>
    <w:rsid w:val="00DC151E"/>
    <w:rsid w:val="00DC3066"/>
    <w:rsid w:val="00DC35F0"/>
    <w:rsid w:val="00DC4F7B"/>
    <w:rsid w:val="00DC5D61"/>
    <w:rsid w:val="00DC7665"/>
    <w:rsid w:val="00DC7714"/>
    <w:rsid w:val="00DD2707"/>
    <w:rsid w:val="00DD2F55"/>
    <w:rsid w:val="00DD3542"/>
    <w:rsid w:val="00DD3A2E"/>
    <w:rsid w:val="00DD4F78"/>
    <w:rsid w:val="00DD5EE8"/>
    <w:rsid w:val="00DD6D1D"/>
    <w:rsid w:val="00DE129E"/>
    <w:rsid w:val="00DE147B"/>
    <w:rsid w:val="00DE1879"/>
    <w:rsid w:val="00DE1F09"/>
    <w:rsid w:val="00DE264E"/>
    <w:rsid w:val="00DE3F96"/>
    <w:rsid w:val="00DE6E3F"/>
    <w:rsid w:val="00DE7033"/>
    <w:rsid w:val="00DF2411"/>
    <w:rsid w:val="00DF2BF6"/>
    <w:rsid w:val="00DF2CC9"/>
    <w:rsid w:val="00DF2EC7"/>
    <w:rsid w:val="00DF4124"/>
    <w:rsid w:val="00DF651B"/>
    <w:rsid w:val="00DF6D05"/>
    <w:rsid w:val="00DF7D8C"/>
    <w:rsid w:val="00E00DC8"/>
    <w:rsid w:val="00E044C0"/>
    <w:rsid w:val="00E04ADC"/>
    <w:rsid w:val="00E04BA1"/>
    <w:rsid w:val="00E05028"/>
    <w:rsid w:val="00E05C3A"/>
    <w:rsid w:val="00E05F01"/>
    <w:rsid w:val="00E07D0D"/>
    <w:rsid w:val="00E1358B"/>
    <w:rsid w:val="00E13CE1"/>
    <w:rsid w:val="00E140FD"/>
    <w:rsid w:val="00E14B4E"/>
    <w:rsid w:val="00E15FB0"/>
    <w:rsid w:val="00E16F06"/>
    <w:rsid w:val="00E20734"/>
    <w:rsid w:val="00E20A15"/>
    <w:rsid w:val="00E2367E"/>
    <w:rsid w:val="00E243A3"/>
    <w:rsid w:val="00E25245"/>
    <w:rsid w:val="00E25F13"/>
    <w:rsid w:val="00E26F99"/>
    <w:rsid w:val="00E30239"/>
    <w:rsid w:val="00E304A0"/>
    <w:rsid w:val="00E31D32"/>
    <w:rsid w:val="00E329EC"/>
    <w:rsid w:val="00E32D0F"/>
    <w:rsid w:val="00E32E8E"/>
    <w:rsid w:val="00E35FD9"/>
    <w:rsid w:val="00E37066"/>
    <w:rsid w:val="00E420D9"/>
    <w:rsid w:val="00E4252B"/>
    <w:rsid w:val="00E4473D"/>
    <w:rsid w:val="00E44966"/>
    <w:rsid w:val="00E4608D"/>
    <w:rsid w:val="00E46509"/>
    <w:rsid w:val="00E46B45"/>
    <w:rsid w:val="00E50998"/>
    <w:rsid w:val="00E51D9E"/>
    <w:rsid w:val="00E5444F"/>
    <w:rsid w:val="00E54D35"/>
    <w:rsid w:val="00E55999"/>
    <w:rsid w:val="00E56315"/>
    <w:rsid w:val="00E56DA1"/>
    <w:rsid w:val="00E60473"/>
    <w:rsid w:val="00E61F82"/>
    <w:rsid w:val="00E6274B"/>
    <w:rsid w:val="00E62FF8"/>
    <w:rsid w:val="00E64158"/>
    <w:rsid w:val="00E644A5"/>
    <w:rsid w:val="00E660FC"/>
    <w:rsid w:val="00E67361"/>
    <w:rsid w:val="00E700F8"/>
    <w:rsid w:val="00E7039D"/>
    <w:rsid w:val="00E72689"/>
    <w:rsid w:val="00E72E76"/>
    <w:rsid w:val="00E7448F"/>
    <w:rsid w:val="00E75DF7"/>
    <w:rsid w:val="00E761FD"/>
    <w:rsid w:val="00E76632"/>
    <w:rsid w:val="00E8129D"/>
    <w:rsid w:val="00E84977"/>
    <w:rsid w:val="00E85479"/>
    <w:rsid w:val="00E87534"/>
    <w:rsid w:val="00E9033F"/>
    <w:rsid w:val="00E93144"/>
    <w:rsid w:val="00E93328"/>
    <w:rsid w:val="00EA12BE"/>
    <w:rsid w:val="00EA1EA6"/>
    <w:rsid w:val="00EA6756"/>
    <w:rsid w:val="00EA71FE"/>
    <w:rsid w:val="00EA7902"/>
    <w:rsid w:val="00EB1263"/>
    <w:rsid w:val="00EB1834"/>
    <w:rsid w:val="00EB32DA"/>
    <w:rsid w:val="00EB4446"/>
    <w:rsid w:val="00EB478F"/>
    <w:rsid w:val="00EB737F"/>
    <w:rsid w:val="00EB796E"/>
    <w:rsid w:val="00EC39B6"/>
    <w:rsid w:val="00EC4349"/>
    <w:rsid w:val="00EC6849"/>
    <w:rsid w:val="00EC703F"/>
    <w:rsid w:val="00ED0144"/>
    <w:rsid w:val="00ED05A0"/>
    <w:rsid w:val="00ED0C7B"/>
    <w:rsid w:val="00ED1B41"/>
    <w:rsid w:val="00ED22E5"/>
    <w:rsid w:val="00ED2C40"/>
    <w:rsid w:val="00ED312B"/>
    <w:rsid w:val="00ED5F33"/>
    <w:rsid w:val="00EE0467"/>
    <w:rsid w:val="00EE30C1"/>
    <w:rsid w:val="00EE3C3B"/>
    <w:rsid w:val="00EE562E"/>
    <w:rsid w:val="00EF2FE0"/>
    <w:rsid w:val="00EF49AF"/>
    <w:rsid w:val="00EF4FA9"/>
    <w:rsid w:val="00EF5852"/>
    <w:rsid w:val="00EF5E17"/>
    <w:rsid w:val="00EF7B56"/>
    <w:rsid w:val="00F008B3"/>
    <w:rsid w:val="00F00F5C"/>
    <w:rsid w:val="00F02329"/>
    <w:rsid w:val="00F0254A"/>
    <w:rsid w:val="00F044A6"/>
    <w:rsid w:val="00F04812"/>
    <w:rsid w:val="00F05FC0"/>
    <w:rsid w:val="00F073A5"/>
    <w:rsid w:val="00F078C3"/>
    <w:rsid w:val="00F10544"/>
    <w:rsid w:val="00F10794"/>
    <w:rsid w:val="00F11A84"/>
    <w:rsid w:val="00F122C0"/>
    <w:rsid w:val="00F12E74"/>
    <w:rsid w:val="00F14DF4"/>
    <w:rsid w:val="00F16535"/>
    <w:rsid w:val="00F20E8A"/>
    <w:rsid w:val="00F27B31"/>
    <w:rsid w:val="00F315A2"/>
    <w:rsid w:val="00F32378"/>
    <w:rsid w:val="00F361C0"/>
    <w:rsid w:val="00F40B8C"/>
    <w:rsid w:val="00F43FAD"/>
    <w:rsid w:val="00F44CEB"/>
    <w:rsid w:val="00F44DE3"/>
    <w:rsid w:val="00F454FF"/>
    <w:rsid w:val="00F457AD"/>
    <w:rsid w:val="00F45C6B"/>
    <w:rsid w:val="00F45E47"/>
    <w:rsid w:val="00F46AD2"/>
    <w:rsid w:val="00F4764E"/>
    <w:rsid w:val="00F522E7"/>
    <w:rsid w:val="00F53A03"/>
    <w:rsid w:val="00F53C62"/>
    <w:rsid w:val="00F55EF8"/>
    <w:rsid w:val="00F560AA"/>
    <w:rsid w:val="00F56168"/>
    <w:rsid w:val="00F60B8A"/>
    <w:rsid w:val="00F60CE8"/>
    <w:rsid w:val="00F61997"/>
    <w:rsid w:val="00F61AF3"/>
    <w:rsid w:val="00F62C5F"/>
    <w:rsid w:val="00F62D1A"/>
    <w:rsid w:val="00F63E3D"/>
    <w:rsid w:val="00F64448"/>
    <w:rsid w:val="00F65557"/>
    <w:rsid w:val="00F65B33"/>
    <w:rsid w:val="00F65C8F"/>
    <w:rsid w:val="00F6714E"/>
    <w:rsid w:val="00F67808"/>
    <w:rsid w:val="00F7275D"/>
    <w:rsid w:val="00F7285D"/>
    <w:rsid w:val="00F72CF1"/>
    <w:rsid w:val="00F73B20"/>
    <w:rsid w:val="00F75BB8"/>
    <w:rsid w:val="00F75D70"/>
    <w:rsid w:val="00F7783C"/>
    <w:rsid w:val="00F77A9B"/>
    <w:rsid w:val="00F800B3"/>
    <w:rsid w:val="00F8147A"/>
    <w:rsid w:val="00F81853"/>
    <w:rsid w:val="00F82208"/>
    <w:rsid w:val="00F83E33"/>
    <w:rsid w:val="00F84BCC"/>
    <w:rsid w:val="00F85185"/>
    <w:rsid w:val="00F85BCE"/>
    <w:rsid w:val="00F86E47"/>
    <w:rsid w:val="00F872F9"/>
    <w:rsid w:val="00F87B25"/>
    <w:rsid w:val="00F9118A"/>
    <w:rsid w:val="00F92029"/>
    <w:rsid w:val="00F93694"/>
    <w:rsid w:val="00F93A0F"/>
    <w:rsid w:val="00F975ED"/>
    <w:rsid w:val="00F97854"/>
    <w:rsid w:val="00FA0031"/>
    <w:rsid w:val="00FA0643"/>
    <w:rsid w:val="00FA119F"/>
    <w:rsid w:val="00FA26C4"/>
    <w:rsid w:val="00FA33F2"/>
    <w:rsid w:val="00FA7486"/>
    <w:rsid w:val="00FA7917"/>
    <w:rsid w:val="00FA7E1F"/>
    <w:rsid w:val="00FB02C2"/>
    <w:rsid w:val="00FB12E0"/>
    <w:rsid w:val="00FB368C"/>
    <w:rsid w:val="00FB6BD0"/>
    <w:rsid w:val="00FC0355"/>
    <w:rsid w:val="00FC0E98"/>
    <w:rsid w:val="00FC2BC8"/>
    <w:rsid w:val="00FC399C"/>
    <w:rsid w:val="00FC3A64"/>
    <w:rsid w:val="00FC5E45"/>
    <w:rsid w:val="00FD1C87"/>
    <w:rsid w:val="00FD2E44"/>
    <w:rsid w:val="00FD5F47"/>
    <w:rsid w:val="00FD680B"/>
    <w:rsid w:val="00FE0A58"/>
    <w:rsid w:val="00FE13FB"/>
    <w:rsid w:val="00FE1DB6"/>
    <w:rsid w:val="00FE214B"/>
    <w:rsid w:val="00FE22CD"/>
    <w:rsid w:val="00FE2E8F"/>
    <w:rsid w:val="00FE621E"/>
    <w:rsid w:val="00FE6AC8"/>
    <w:rsid w:val="00FE6F7D"/>
    <w:rsid w:val="00FE6F99"/>
    <w:rsid w:val="00FE72CD"/>
    <w:rsid w:val="00FE76D8"/>
    <w:rsid w:val="00FF12A7"/>
    <w:rsid w:val="00FF2D16"/>
    <w:rsid w:val="00FF3643"/>
    <w:rsid w:val="00FF3F4E"/>
    <w:rsid w:val="00FF42F1"/>
    <w:rsid w:val="00FF4F37"/>
    <w:rsid w:val="00FF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  <w14:docId w14:val="3940CC7C"/>
  <w15:docId w15:val="{BA2E2792-1FCA-403D-8AFA-CA0764609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character" w:styleId="a9">
    <w:name w:val="page number"/>
    <w:basedOn w:val="a0"/>
    <w:rsid w:val="00734F33"/>
  </w:style>
  <w:style w:type="character" w:customStyle="1" w:styleId="a5">
    <w:name w:val="Долен колонтитул Знак"/>
    <w:link w:val="a4"/>
    <w:rsid w:val="00C81BEF"/>
    <w:rPr>
      <w:rFonts w:ascii="Arial" w:hAnsi="Arial"/>
      <w:lang w:val="en-US" w:eastAsia="en-US"/>
    </w:rPr>
  </w:style>
  <w:style w:type="table" w:styleId="aa">
    <w:name w:val="Table Grid"/>
    <w:basedOn w:val="a1"/>
    <w:rsid w:val="00B44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13F79"/>
    <w:pPr>
      <w:ind w:left="708"/>
    </w:pPr>
  </w:style>
  <w:style w:type="paragraph" w:styleId="ac">
    <w:name w:val="Balloon Text"/>
    <w:basedOn w:val="a"/>
    <w:link w:val="ad"/>
    <w:rsid w:val="004A1732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rsid w:val="004A1732"/>
    <w:rPr>
      <w:rFonts w:ascii="Tahoma" w:hAnsi="Tahoma" w:cs="Tahoma"/>
      <w:sz w:val="16"/>
      <w:szCs w:val="16"/>
      <w:lang w:val="en-US" w:eastAsia="en-US"/>
    </w:rPr>
  </w:style>
  <w:style w:type="character" w:styleId="ae">
    <w:name w:val="annotation reference"/>
    <w:basedOn w:val="a0"/>
    <w:semiHidden/>
    <w:unhideWhenUsed/>
    <w:rsid w:val="00AF1480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AF1480"/>
  </w:style>
  <w:style w:type="character" w:customStyle="1" w:styleId="af0">
    <w:name w:val="Текст на коментар Знак"/>
    <w:basedOn w:val="a0"/>
    <w:link w:val="af"/>
    <w:semiHidden/>
    <w:rsid w:val="00AF1480"/>
    <w:rPr>
      <w:rFonts w:ascii="Arial" w:hAnsi="Arial"/>
      <w:lang w:val="en-US" w:eastAsia="en-US"/>
    </w:rPr>
  </w:style>
  <w:style w:type="paragraph" w:styleId="af1">
    <w:name w:val="annotation subject"/>
    <w:basedOn w:val="af"/>
    <w:next w:val="af"/>
    <w:link w:val="af2"/>
    <w:semiHidden/>
    <w:unhideWhenUsed/>
    <w:rsid w:val="00AF1480"/>
    <w:rPr>
      <w:b/>
      <w:bCs/>
    </w:rPr>
  </w:style>
  <w:style w:type="character" w:customStyle="1" w:styleId="af2">
    <w:name w:val="Предмет на коментар Знак"/>
    <w:basedOn w:val="af0"/>
    <w:link w:val="af1"/>
    <w:semiHidden/>
    <w:rsid w:val="00AF1480"/>
    <w:rPr>
      <w:rFonts w:ascii="Arial" w:hAnsi="Arial"/>
      <w:b/>
      <w:bCs/>
      <w:lang w:val="en-US"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rsid w:val="004B1A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1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ker.bg/uploads/reshenia/2022/res_bp_c_18_22.pdf" TargetMode="External"/><Relationship Id="rId13" Type="http://schemas.openxmlformats.org/officeDocument/2006/relationships/hyperlink" Target="https://www.dker.bg/bg/vik/vprosi-i-otgovori-vik.htm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ker.bg/uploads/documents/vik/Stanovishte_KEVR_Prot_152_10052023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ker.bg/uploads/documents/vik/Stanovishte_ZVIK_Prot_%20350_14122022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dker.bg/uploads/documents/vik/rep_prot_348_16112023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dker.bg/uploads/documents/vik/rep_proverki_vik_16112023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C557A-CD50-442B-9A3D-63B4784B6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2804</Words>
  <Characters>15985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Kiril Vasilev</dc:creator>
  <cp:lastModifiedBy>PC</cp:lastModifiedBy>
  <cp:revision>6</cp:revision>
  <cp:lastPrinted>2024-02-01T11:06:00Z</cp:lastPrinted>
  <dcterms:created xsi:type="dcterms:W3CDTF">2024-02-19T10:48:00Z</dcterms:created>
  <dcterms:modified xsi:type="dcterms:W3CDTF">2024-02-26T15:24:00Z</dcterms:modified>
</cp:coreProperties>
</file>